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1A7E40" w:rsidRDefault="00940D1C">
      <w:pPr>
        <w:widowControl w:val="0"/>
        <w:spacing w:line="48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SUPPLEMENTARY MATERIAL</w:t>
      </w:r>
    </w:p>
    <w:p w14:paraId="00000002" w14:textId="77777777" w:rsidR="001A7E40" w:rsidRDefault="00940D1C">
      <w:pPr>
        <w:widowControl w:val="0"/>
        <w:spacing w:line="48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Appendices B &amp; C: List of Studies (see Attached Word Files)</w:t>
      </w:r>
    </w:p>
    <w:p w14:paraId="00000003" w14:textId="77777777" w:rsidR="001A7E40" w:rsidRDefault="00940D1C">
      <w:pPr>
        <w:widowControl w:val="0"/>
        <w:spacing w:line="480" w:lineRule="auto"/>
        <w:ind w:left="720"/>
        <w:rPr>
          <w:rFonts w:ascii="Times New Roman" w:eastAsia="Times New Roman" w:hAnsi="Times New Roman" w:cs="Times New Roman"/>
          <w:sz w:val="24"/>
          <w:szCs w:val="24"/>
        </w:rPr>
      </w:pPr>
      <w:r>
        <w:rPr>
          <w:rFonts w:ascii="Times New Roman" w:eastAsia="Times New Roman" w:hAnsi="Times New Roman" w:cs="Times New Roman"/>
          <w:b/>
          <w:i/>
          <w:sz w:val="24"/>
          <w:szCs w:val="24"/>
        </w:rPr>
        <w:t>Appendix B</w:t>
      </w:r>
      <w:r>
        <w:rPr>
          <w:rFonts w:ascii="Times New Roman" w:eastAsia="Times New Roman" w:hAnsi="Times New Roman" w:cs="Times New Roman"/>
          <w:sz w:val="24"/>
          <w:szCs w:val="24"/>
        </w:rPr>
        <w:t xml:space="preserve"> includes the full list of coded FFM primary studies.</w:t>
      </w:r>
    </w:p>
    <w:p w14:paraId="00000004" w14:textId="77777777" w:rsidR="001A7E40" w:rsidRDefault="00940D1C">
      <w:pPr>
        <w:widowControl w:val="0"/>
        <w:spacing w:line="480" w:lineRule="auto"/>
        <w:ind w:left="720"/>
        <w:rPr>
          <w:rFonts w:ascii="Times New Roman" w:eastAsia="Times New Roman" w:hAnsi="Times New Roman" w:cs="Times New Roman"/>
          <w:b/>
          <w:sz w:val="24"/>
          <w:szCs w:val="24"/>
        </w:rPr>
      </w:pPr>
      <w:r>
        <w:rPr>
          <w:rFonts w:ascii="Times New Roman" w:eastAsia="Times New Roman" w:hAnsi="Times New Roman" w:cs="Times New Roman"/>
          <w:b/>
          <w:i/>
          <w:sz w:val="24"/>
          <w:szCs w:val="24"/>
        </w:rPr>
        <w:t>Appendix C</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includes the full list of coded HEXACO primary studies.</w:t>
      </w:r>
    </w:p>
    <w:p w14:paraId="00000005" w14:textId="77777777" w:rsidR="001A7E40" w:rsidRDefault="001A7E40">
      <w:pPr>
        <w:widowControl w:val="0"/>
        <w:spacing w:line="480" w:lineRule="auto"/>
        <w:rPr>
          <w:rFonts w:ascii="Times New Roman" w:eastAsia="Times New Roman" w:hAnsi="Times New Roman" w:cs="Times New Roman"/>
          <w:b/>
          <w:sz w:val="24"/>
          <w:szCs w:val="24"/>
        </w:rPr>
      </w:pPr>
    </w:p>
    <w:p w14:paraId="00000006" w14:textId="77777777" w:rsidR="001A7E40" w:rsidRDefault="00940D1C">
      <w:pPr>
        <w:widowControl w:val="0"/>
        <w:spacing w:line="48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Appendix D. Tests of Publication Bias and Second-Order Sampling Error</w:t>
      </w:r>
    </w:p>
    <w:p w14:paraId="00000007" w14:textId="638E2811" w:rsidR="001A7E40" w:rsidRDefault="00940D1C">
      <w:pPr>
        <w:widowControl w:val="0"/>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We examined whether publication bias was a potential concern by using two methods, following Kepes et al. (2012): (a) Egger’s regression test (Egger et al., 1997) and (b) random-effects trim and fill (Duval &amp; Tweedie, 2000a, 2000b). We examined each bivariate correlation between personality traits (FFM and HEXACO) and two leadership criteria (leader emergence and leader effectiveness), which yielded a total of 22 relationships ([5 FFM traits </w:t>
      </w:r>
      <w:r>
        <w:rPr>
          <w:rFonts w:ascii="Times New Roman" w:eastAsia="Times New Roman" w:hAnsi="Times New Roman" w:cs="Times New Roman"/>
          <w:i/>
          <w:sz w:val="24"/>
          <w:szCs w:val="24"/>
        </w:rPr>
        <w:t>×</w:t>
      </w:r>
      <w:r>
        <w:rPr>
          <w:rFonts w:ascii="Times New Roman" w:eastAsia="Times New Roman" w:hAnsi="Times New Roman" w:cs="Times New Roman"/>
          <w:sz w:val="24"/>
          <w:szCs w:val="24"/>
        </w:rPr>
        <w:t xml:space="preserve"> 2 leadership criteria] + [6 HEXACO traits </w:t>
      </w:r>
      <w:r>
        <w:rPr>
          <w:rFonts w:ascii="Times New Roman" w:eastAsia="Times New Roman" w:hAnsi="Times New Roman" w:cs="Times New Roman"/>
          <w:i/>
          <w:sz w:val="24"/>
          <w:szCs w:val="24"/>
        </w:rPr>
        <w:t>×</w:t>
      </w:r>
      <w:r>
        <w:rPr>
          <w:rFonts w:ascii="Times New Roman" w:eastAsia="Times New Roman" w:hAnsi="Times New Roman" w:cs="Times New Roman"/>
          <w:sz w:val="24"/>
          <w:szCs w:val="24"/>
        </w:rPr>
        <w:t xml:space="preserve"> 2 leadership criteria]). Specifically, we examined the symmetry of funnel plots—with magnitude (</w:t>
      </w:r>
      <m:oMath>
        <m:acc>
          <m:accPr>
            <m:ctrlPr>
              <w:rPr>
                <w:rFonts w:ascii="Cambria Math" w:eastAsia="Times New Roman" w:hAnsi="Cambria Math" w:cs="Times New Roman"/>
                <w:i/>
                <w:sz w:val="24"/>
                <w:szCs w:val="24"/>
              </w:rPr>
            </m:ctrlPr>
          </m:accPr>
          <m:e>
            <m:acc>
              <m:accPr>
                <m:chr m:val="̅"/>
                <m:ctrlPr>
                  <w:rPr>
                    <w:rFonts w:ascii="Cambria Math" w:eastAsia="Times New Roman" w:hAnsi="Cambria Math" w:cs="Times New Roman"/>
                    <w:i/>
                    <w:sz w:val="24"/>
                    <w:szCs w:val="24"/>
                  </w:rPr>
                </m:ctrlPr>
              </m:accPr>
              <m:e>
                <m:r>
                  <m:rPr>
                    <m:nor/>
                  </m:rPr>
                  <w:rPr>
                    <w:rFonts w:ascii="Times New Roman" w:eastAsia="Times New Roman" w:hAnsi="Times New Roman" w:cs="Times New Roman"/>
                    <w:i/>
                    <w:sz w:val="24"/>
                    <w:szCs w:val="24"/>
                  </w:rPr>
                  <m:t>ρ</m:t>
                </m:r>
              </m:e>
            </m:acc>
          </m:e>
        </m:acc>
      </m:oMath>
      <w:r>
        <w:rPr>
          <w:rFonts w:ascii="Times New Roman" w:eastAsia="Times New Roman" w:hAnsi="Times New Roman" w:cs="Times New Roman"/>
          <w:sz w:val="24"/>
          <w:szCs w:val="24"/>
        </w:rPr>
        <w:t xml:space="preserve">) on the plot’s abscissa and precision (standard error) on the plot’s ordinate—of each bivariate relationship by using Egger’s regression test. With Egger’s regression test, magnitude is regressed </w:t>
      </w:r>
      <w:proofErr w:type="gramStart"/>
      <w:r>
        <w:rPr>
          <w:rFonts w:ascii="Times New Roman" w:eastAsia="Times New Roman" w:hAnsi="Times New Roman" w:cs="Times New Roman"/>
          <w:sz w:val="24"/>
          <w:szCs w:val="24"/>
        </w:rPr>
        <w:t>onto</w:t>
      </w:r>
      <w:proofErr w:type="gramEnd"/>
      <w:r>
        <w:rPr>
          <w:rFonts w:ascii="Times New Roman" w:eastAsia="Times New Roman" w:hAnsi="Times New Roman" w:cs="Times New Roman"/>
          <w:sz w:val="24"/>
          <w:szCs w:val="24"/>
        </w:rPr>
        <w:t xml:space="preserve"> precision, and the intercept (</w:t>
      </w:r>
      <w:r>
        <w:rPr>
          <w:rFonts w:ascii="Times New Roman" w:eastAsia="Times New Roman" w:hAnsi="Times New Roman" w:cs="Times New Roman"/>
          <w:i/>
          <w:sz w:val="24"/>
          <w:szCs w:val="24"/>
        </w:rPr>
        <w:t>β</w:t>
      </w:r>
      <w:r>
        <w:rPr>
          <w:rFonts w:ascii="Times New Roman" w:eastAsia="Times New Roman" w:hAnsi="Times New Roman" w:cs="Times New Roman"/>
          <w:i/>
          <w:sz w:val="24"/>
          <w:szCs w:val="24"/>
          <w:vertAlign w:val="subscript"/>
        </w:rPr>
        <w:t>0</w:t>
      </w:r>
      <w:r>
        <w:rPr>
          <w:rFonts w:ascii="Times New Roman" w:eastAsia="Times New Roman" w:hAnsi="Times New Roman" w:cs="Times New Roman"/>
          <w:sz w:val="24"/>
          <w:szCs w:val="24"/>
        </w:rPr>
        <w:t>) of the regression line is examined.</w:t>
      </w:r>
      <w:r w:rsidRPr="00940D1C">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β</w:t>
      </w:r>
      <w:r>
        <w:rPr>
          <w:rFonts w:ascii="Times New Roman" w:eastAsia="Times New Roman" w:hAnsi="Times New Roman" w:cs="Times New Roman"/>
          <w:i/>
          <w:sz w:val="24"/>
          <w:szCs w:val="24"/>
          <w:vertAlign w:val="subscript"/>
        </w:rPr>
        <w:t>0</w:t>
      </w:r>
      <w:r>
        <w:rPr>
          <w:rFonts w:ascii="Times New Roman" w:eastAsia="Times New Roman" w:hAnsi="Times New Roman" w:cs="Times New Roman"/>
          <w:sz w:val="24"/>
          <w:szCs w:val="24"/>
        </w:rPr>
        <w:t xml:space="preserve"> </w:t>
      </w:r>
      <w:r w:rsidRPr="00940D1C">
        <w:rPr>
          <w:rFonts w:ascii="Times New Roman" w:eastAsia="Times New Roman" w:hAnsi="Times New Roman" w:cs="Times New Roman" w:hint="eastAsia"/>
          <w:sz w:val="24"/>
          <w:szCs w:val="24"/>
        </w:rPr>
        <w:t>≠ 0 suggests that the funnel plot is asymmetric, which serves as an indicator of publication bias (</w:t>
      </w:r>
      <w:proofErr w:type="spellStart"/>
      <w:r w:rsidRPr="00940D1C">
        <w:rPr>
          <w:rFonts w:ascii="Times New Roman" w:eastAsia="Times New Roman" w:hAnsi="Times New Roman" w:cs="Times New Roman" w:hint="eastAsia"/>
          <w:sz w:val="24"/>
          <w:szCs w:val="24"/>
        </w:rPr>
        <w:t>Viechtbauer</w:t>
      </w:r>
      <w:proofErr w:type="spellEnd"/>
      <w:r w:rsidRPr="00940D1C">
        <w:rPr>
          <w:rFonts w:ascii="Times New Roman" w:eastAsia="Times New Roman" w:hAnsi="Times New Roman" w:cs="Times New Roman" w:hint="eastAsia"/>
          <w:sz w:val="24"/>
          <w:szCs w:val="24"/>
        </w:rPr>
        <w:t>, 2010). If we observed an asymmetric funnel plot through Egger’s regression test, we proceeded to the random-effects trim and fill (T&amp;F) procedur</w:t>
      </w:r>
      <w:r w:rsidRPr="00940D1C">
        <w:rPr>
          <w:rFonts w:ascii="Times New Roman" w:eastAsia="Times New Roman" w:hAnsi="Times New Roman" w:cs="Times New Roman"/>
          <w:sz w:val="24"/>
          <w:szCs w:val="24"/>
        </w:rPr>
        <w:t>e. T&amp;F involved two subroutines: (a) imputing values of hypothetically missed studies to reduce funnel plot asymmetry, and (b) estimating a new T&amp;F</w:t>
      </w:r>
      <w:r>
        <w:rPr>
          <w:rFonts w:ascii="Times New Roman" w:eastAsia="Times New Roman" w:hAnsi="Times New Roman" w:cs="Times New Roman"/>
          <w:sz w:val="24"/>
          <w:szCs w:val="24"/>
          <w:vertAlign w:val="subscript"/>
        </w:rPr>
        <w:t xml:space="preserve"> </w:t>
      </w:r>
      <w:r>
        <w:rPr>
          <w:rFonts w:ascii="Times New Roman" w:eastAsia="Times New Roman" w:hAnsi="Times New Roman" w:cs="Times New Roman"/>
        </w:rPr>
        <w:t xml:space="preserve"> </w:t>
      </w:r>
      <m:oMath>
        <m:acc>
          <m:accPr>
            <m:ctrlPr>
              <w:rPr>
                <w:rFonts w:ascii="Cambria Math" w:eastAsia="Times New Roman" w:hAnsi="Cambria Math" w:cs="Times New Roman"/>
                <w:i/>
                <w:sz w:val="24"/>
                <w:szCs w:val="24"/>
              </w:rPr>
            </m:ctrlPr>
          </m:accPr>
          <m:e>
            <m:acc>
              <m:accPr>
                <m:chr m:val="̅"/>
                <m:ctrlPr>
                  <w:rPr>
                    <w:rFonts w:ascii="Cambria Math" w:eastAsia="Times New Roman" w:hAnsi="Cambria Math" w:cs="Times New Roman"/>
                    <w:i/>
                    <w:sz w:val="24"/>
                    <w:szCs w:val="24"/>
                  </w:rPr>
                </m:ctrlPr>
              </m:accPr>
              <m:e>
                <m:r>
                  <m:rPr>
                    <m:nor/>
                  </m:rPr>
                  <w:rPr>
                    <w:rFonts w:ascii="Times New Roman" w:eastAsia="Times New Roman" w:hAnsi="Times New Roman" w:cs="Times New Roman"/>
                    <w:i/>
                    <w:sz w:val="24"/>
                    <w:szCs w:val="24"/>
                  </w:rPr>
                  <m:t>ρ</m:t>
                </m:r>
              </m:e>
            </m:acc>
          </m:e>
        </m:acc>
      </m:oMath>
      <w:r>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rPr>
        <w:t xml:space="preserve">. Results from these analyses </w:t>
      </w:r>
      <w:r w:rsidR="00FF3A04">
        <w:rPr>
          <w:rFonts w:ascii="Times New Roman" w:eastAsia="Times New Roman" w:hAnsi="Times New Roman" w:cs="Times New Roman"/>
          <w:sz w:val="24"/>
          <w:szCs w:val="24"/>
        </w:rPr>
        <w:t xml:space="preserve">showed a </w:t>
      </w:r>
      <w:r w:rsidR="005356D4">
        <w:rPr>
          <w:rFonts w:ascii="Times New Roman" w:eastAsia="Times New Roman" w:hAnsi="Times New Roman" w:cs="Times New Roman"/>
          <w:sz w:val="24"/>
          <w:szCs w:val="24"/>
        </w:rPr>
        <w:t>significant Egger’s test</w:t>
      </w:r>
      <w:r>
        <w:rPr>
          <w:rFonts w:ascii="Times New Roman" w:eastAsia="Times New Roman" w:hAnsi="Times New Roman" w:cs="Times New Roman"/>
          <w:sz w:val="24"/>
          <w:szCs w:val="24"/>
        </w:rPr>
        <w:t xml:space="preserve"> for two relationships: (a) Agreeableness (FFM) with leader emergence (original</w:t>
      </w:r>
      <w:r>
        <w:rPr>
          <w:rFonts w:ascii="Times New Roman" w:eastAsia="Times New Roman" w:hAnsi="Times New Roman" w:cs="Times New Roman"/>
        </w:rPr>
        <w:t xml:space="preserve"> </w:t>
      </w:r>
      <m:oMath>
        <m:acc>
          <m:accPr>
            <m:ctrlPr>
              <w:rPr>
                <w:rFonts w:ascii="Cambria Math" w:eastAsia="Times New Roman" w:hAnsi="Cambria Math" w:cs="Times New Roman"/>
                <w:i/>
                <w:sz w:val="24"/>
                <w:szCs w:val="24"/>
              </w:rPr>
            </m:ctrlPr>
          </m:accPr>
          <m:e>
            <m:acc>
              <m:accPr>
                <m:chr m:val="̅"/>
                <m:ctrlPr>
                  <w:rPr>
                    <w:rFonts w:ascii="Cambria Math" w:eastAsia="Times New Roman" w:hAnsi="Cambria Math" w:cs="Times New Roman"/>
                    <w:i/>
                    <w:sz w:val="24"/>
                    <w:szCs w:val="24"/>
                  </w:rPr>
                </m:ctrlPr>
              </m:accPr>
              <m:e>
                <m:r>
                  <m:rPr>
                    <m:nor/>
                  </m:rPr>
                  <w:rPr>
                    <w:rFonts w:ascii="Times New Roman" w:eastAsia="Times New Roman" w:hAnsi="Times New Roman" w:cs="Times New Roman"/>
                    <w:i/>
                    <w:sz w:val="24"/>
                    <w:szCs w:val="24"/>
                  </w:rPr>
                  <m:t>ρ</m:t>
                </m:r>
              </m:e>
            </m:acc>
          </m:e>
        </m:acc>
      </m:oMath>
      <w:r>
        <w:rPr>
          <w:rFonts w:ascii="Times New Roman" w:eastAsia="Times New Roman" w:hAnsi="Times New Roman" w:cs="Times New Roman"/>
          <w:sz w:val="24"/>
          <w:szCs w:val="24"/>
        </w:rPr>
        <w:t xml:space="preserve"> = .11, Egger’s test [</w:t>
      </w:r>
      <w:r>
        <w:rPr>
          <w:rFonts w:ascii="Times New Roman" w:eastAsia="Times New Roman" w:hAnsi="Times New Roman" w:cs="Times New Roman"/>
          <w:i/>
          <w:sz w:val="24"/>
          <w:szCs w:val="24"/>
        </w:rPr>
        <w:t>z</w:t>
      </w:r>
      <w:r>
        <w:rPr>
          <w:rFonts w:ascii="Times New Roman" w:eastAsia="Times New Roman" w:hAnsi="Times New Roman" w:cs="Times New Roman"/>
          <w:sz w:val="24"/>
          <w:szCs w:val="24"/>
        </w:rPr>
        <w:t xml:space="preserve"> = -2.485, </w:t>
      </w:r>
      <w:r>
        <w:rPr>
          <w:rFonts w:ascii="Times New Roman" w:eastAsia="Times New Roman" w:hAnsi="Times New Roman" w:cs="Times New Roman"/>
          <w:i/>
          <w:sz w:val="24"/>
          <w:szCs w:val="24"/>
        </w:rPr>
        <w:t>p</w:t>
      </w:r>
      <w:r>
        <w:rPr>
          <w:rFonts w:ascii="Times New Roman" w:eastAsia="Times New Roman" w:hAnsi="Times New Roman" w:cs="Times New Roman"/>
          <w:sz w:val="24"/>
          <w:szCs w:val="24"/>
        </w:rPr>
        <w:t xml:space="preserve"> &lt; .05], T&amp;F </w:t>
      </w:r>
      <w:r>
        <w:rPr>
          <w:rFonts w:ascii="Times New Roman" w:eastAsia="Times New Roman" w:hAnsi="Times New Roman" w:cs="Times New Roman"/>
        </w:rPr>
        <w:t xml:space="preserve"> </w:t>
      </w:r>
      <m:oMath>
        <m:acc>
          <m:accPr>
            <m:ctrlPr>
              <w:rPr>
                <w:rFonts w:ascii="Cambria Math" w:eastAsia="Times New Roman" w:hAnsi="Cambria Math" w:cs="Times New Roman"/>
                <w:i/>
                <w:sz w:val="24"/>
                <w:szCs w:val="24"/>
              </w:rPr>
            </m:ctrlPr>
          </m:accPr>
          <m:e>
            <m:acc>
              <m:accPr>
                <m:chr m:val="̅"/>
                <m:ctrlPr>
                  <w:rPr>
                    <w:rFonts w:ascii="Cambria Math" w:eastAsia="Times New Roman" w:hAnsi="Cambria Math" w:cs="Times New Roman"/>
                    <w:i/>
                    <w:sz w:val="24"/>
                    <w:szCs w:val="24"/>
                  </w:rPr>
                </m:ctrlPr>
              </m:accPr>
              <m:e>
                <m:r>
                  <m:rPr>
                    <m:nor/>
                  </m:rPr>
                  <w:rPr>
                    <w:rFonts w:ascii="Times New Roman" w:eastAsia="Times New Roman" w:hAnsi="Times New Roman" w:cs="Times New Roman"/>
                    <w:i/>
                    <w:sz w:val="24"/>
                    <w:szCs w:val="24"/>
                  </w:rPr>
                  <m:t>ρ</m:t>
                </m:r>
              </m:e>
            </m:acc>
          </m:e>
        </m:acc>
      </m:oMath>
      <w:r>
        <w:rPr>
          <w:rFonts w:ascii="Times New Roman" w:eastAsia="Times New Roman" w:hAnsi="Times New Roman" w:cs="Times New Roman"/>
          <w:sz w:val="24"/>
          <w:szCs w:val="24"/>
        </w:rPr>
        <w:t xml:space="preserve"> = .15, imputed </w:t>
      </w:r>
      <w:r>
        <w:rPr>
          <w:rFonts w:ascii="Times New Roman" w:eastAsia="Times New Roman" w:hAnsi="Times New Roman" w:cs="Times New Roman"/>
          <w:i/>
          <w:sz w:val="24"/>
          <w:szCs w:val="24"/>
        </w:rPr>
        <w:t>k</w:t>
      </w:r>
      <w:r>
        <w:rPr>
          <w:rFonts w:ascii="Times New Roman" w:eastAsia="Times New Roman" w:hAnsi="Times New Roman" w:cs="Times New Roman"/>
          <w:sz w:val="24"/>
          <w:szCs w:val="24"/>
        </w:rPr>
        <w:t xml:space="preserve"> = 19, 95% CI [.11, .20]; Δ</w:t>
      </w:r>
      <m:oMath>
        <m:acc>
          <m:accPr>
            <m:ctrlPr>
              <w:rPr>
                <w:rFonts w:ascii="Cambria Math" w:eastAsia="Times New Roman" w:hAnsi="Cambria Math" w:cs="Times New Roman"/>
                <w:i/>
                <w:sz w:val="24"/>
                <w:szCs w:val="24"/>
              </w:rPr>
            </m:ctrlPr>
          </m:accPr>
          <m:e>
            <m:acc>
              <m:accPr>
                <m:chr m:val="̅"/>
                <m:ctrlPr>
                  <w:rPr>
                    <w:rFonts w:ascii="Cambria Math" w:eastAsia="Times New Roman" w:hAnsi="Cambria Math" w:cs="Times New Roman"/>
                    <w:i/>
                    <w:sz w:val="24"/>
                    <w:szCs w:val="24"/>
                  </w:rPr>
                </m:ctrlPr>
              </m:accPr>
              <m:e>
                <m:r>
                  <m:rPr>
                    <m:nor/>
                  </m:rPr>
                  <w:rPr>
                    <w:rFonts w:ascii="Times New Roman" w:eastAsia="Times New Roman" w:hAnsi="Times New Roman" w:cs="Times New Roman"/>
                    <w:i/>
                    <w:sz w:val="24"/>
                    <w:szCs w:val="24"/>
                  </w:rPr>
                  <m:t>ρ</m:t>
                </m:r>
              </m:e>
            </m:acc>
          </m:e>
        </m:acc>
      </m:oMath>
      <w:r>
        <w:rPr>
          <w:rFonts w:ascii="Times New Roman" w:eastAsia="Times New Roman" w:hAnsi="Times New Roman" w:cs="Times New Roman"/>
          <w:sz w:val="24"/>
          <w:szCs w:val="24"/>
        </w:rPr>
        <w:t xml:space="preserve"> = .04, and (b) Conscientiousness (HEXACO) with leader effectiveness (original </w:t>
      </w:r>
      <m:oMath>
        <m:acc>
          <m:accPr>
            <m:ctrlPr>
              <w:rPr>
                <w:rFonts w:ascii="Cambria Math" w:eastAsia="Times New Roman" w:hAnsi="Cambria Math" w:cs="Times New Roman"/>
                <w:i/>
                <w:sz w:val="24"/>
                <w:szCs w:val="24"/>
              </w:rPr>
            </m:ctrlPr>
          </m:accPr>
          <m:e>
            <m:acc>
              <m:accPr>
                <m:chr m:val="̅"/>
                <m:ctrlPr>
                  <w:rPr>
                    <w:rFonts w:ascii="Cambria Math" w:eastAsia="Times New Roman" w:hAnsi="Cambria Math" w:cs="Times New Roman"/>
                    <w:i/>
                    <w:sz w:val="24"/>
                    <w:szCs w:val="24"/>
                  </w:rPr>
                </m:ctrlPr>
              </m:accPr>
              <m:e>
                <m:r>
                  <m:rPr>
                    <m:nor/>
                  </m:rPr>
                  <w:rPr>
                    <w:rFonts w:ascii="Times New Roman" w:eastAsia="Times New Roman" w:hAnsi="Times New Roman" w:cs="Times New Roman"/>
                    <w:i/>
                    <w:sz w:val="24"/>
                    <w:szCs w:val="24"/>
                  </w:rPr>
                  <m:t>ρ</m:t>
                </m:r>
              </m:e>
            </m:acc>
          </m:e>
        </m:acc>
      </m:oMath>
      <w:r>
        <w:rPr>
          <w:rFonts w:ascii="Times New Roman" w:eastAsia="Times New Roman" w:hAnsi="Times New Roman" w:cs="Times New Roman"/>
          <w:sz w:val="24"/>
          <w:szCs w:val="24"/>
        </w:rPr>
        <w:t xml:space="preserve"> = .38, Egger’s </w:t>
      </w:r>
      <w:r>
        <w:rPr>
          <w:rFonts w:ascii="Times New Roman" w:eastAsia="Times New Roman" w:hAnsi="Times New Roman" w:cs="Times New Roman"/>
          <w:sz w:val="24"/>
          <w:szCs w:val="24"/>
        </w:rPr>
        <w:lastRenderedPageBreak/>
        <w:t>test [</w:t>
      </w:r>
      <w:r>
        <w:rPr>
          <w:rFonts w:ascii="Times New Roman" w:eastAsia="Times New Roman" w:hAnsi="Times New Roman" w:cs="Times New Roman"/>
          <w:i/>
          <w:sz w:val="24"/>
          <w:szCs w:val="24"/>
        </w:rPr>
        <w:t>z</w:t>
      </w:r>
      <w:r>
        <w:rPr>
          <w:rFonts w:ascii="Times New Roman" w:eastAsia="Times New Roman" w:hAnsi="Times New Roman" w:cs="Times New Roman"/>
          <w:sz w:val="24"/>
          <w:szCs w:val="24"/>
        </w:rPr>
        <w:t xml:space="preserve"> = -4.422, </w:t>
      </w:r>
      <w:r>
        <w:rPr>
          <w:rFonts w:ascii="Times New Roman" w:eastAsia="Times New Roman" w:hAnsi="Times New Roman" w:cs="Times New Roman"/>
          <w:i/>
          <w:sz w:val="24"/>
          <w:szCs w:val="24"/>
        </w:rPr>
        <w:t>p</w:t>
      </w:r>
      <w:r>
        <w:rPr>
          <w:rFonts w:ascii="Times New Roman" w:eastAsia="Times New Roman" w:hAnsi="Times New Roman" w:cs="Times New Roman"/>
          <w:sz w:val="24"/>
          <w:szCs w:val="24"/>
        </w:rPr>
        <w:t xml:space="preserve"> &lt; .01], T&amp;F </w:t>
      </w:r>
      <m:oMath>
        <m:acc>
          <m:accPr>
            <m:ctrlPr>
              <w:rPr>
                <w:rFonts w:ascii="Cambria Math" w:eastAsia="Times New Roman" w:hAnsi="Cambria Math" w:cs="Times New Roman"/>
                <w:i/>
                <w:sz w:val="24"/>
                <w:szCs w:val="24"/>
              </w:rPr>
            </m:ctrlPr>
          </m:accPr>
          <m:e>
            <m:acc>
              <m:accPr>
                <m:chr m:val="̅"/>
                <m:ctrlPr>
                  <w:rPr>
                    <w:rFonts w:ascii="Cambria Math" w:eastAsia="Times New Roman" w:hAnsi="Cambria Math" w:cs="Times New Roman"/>
                    <w:i/>
                    <w:sz w:val="24"/>
                    <w:szCs w:val="24"/>
                  </w:rPr>
                </m:ctrlPr>
              </m:accPr>
              <m:e>
                <m:r>
                  <m:rPr>
                    <m:nor/>
                  </m:rPr>
                  <w:rPr>
                    <w:rFonts w:ascii="Times New Roman" w:eastAsia="Times New Roman" w:hAnsi="Times New Roman" w:cs="Times New Roman"/>
                    <w:i/>
                    <w:sz w:val="24"/>
                    <w:szCs w:val="24"/>
                  </w:rPr>
                  <m:t>ρ</m:t>
                </m:r>
              </m:e>
            </m:acc>
          </m:e>
        </m:acc>
      </m:oMath>
      <w:r>
        <w:rPr>
          <w:rFonts w:ascii="Times New Roman" w:eastAsia="Times New Roman" w:hAnsi="Times New Roman" w:cs="Times New Roman"/>
          <w:sz w:val="24"/>
          <w:szCs w:val="24"/>
        </w:rPr>
        <w:t xml:space="preserve"> = .48, imputed </w:t>
      </w:r>
      <w:r>
        <w:rPr>
          <w:rFonts w:ascii="Times New Roman" w:eastAsia="Times New Roman" w:hAnsi="Times New Roman" w:cs="Times New Roman"/>
          <w:i/>
          <w:sz w:val="24"/>
          <w:szCs w:val="24"/>
        </w:rPr>
        <w:t>k</w:t>
      </w:r>
      <w:r>
        <w:rPr>
          <w:rFonts w:ascii="Times New Roman" w:eastAsia="Times New Roman" w:hAnsi="Times New Roman" w:cs="Times New Roman"/>
          <w:sz w:val="24"/>
          <w:szCs w:val="24"/>
        </w:rPr>
        <w:t xml:space="preserve"> = 2, 95% CI [.26, .71]; Δ</w:t>
      </w:r>
      <m:oMath>
        <m:acc>
          <m:accPr>
            <m:ctrlPr>
              <w:rPr>
                <w:rFonts w:ascii="Cambria Math" w:eastAsia="Times New Roman" w:hAnsi="Cambria Math" w:cs="Times New Roman"/>
                <w:i/>
                <w:sz w:val="24"/>
                <w:szCs w:val="24"/>
              </w:rPr>
            </m:ctrlPr>
          </m:accPr>
          <m:e>
            <m:acc>
              <m:accPr>
                <m:chr m:val="̅"/>
                <m:ctrlPr>
                  <w:rPr>
                    <w:rFonts w:ascii="Cambria Math" w:eastAsia="Times New Roman" w:hAnsi="Cambria Math" w:cs="Times New Roman"/>
                    <w:i/>
                    <w:sz w:val="24"/>
                    <w:szCs w:val="24"/>
                  </w:rPr>
                </m:ctrlPr>
              </m:accPr>
              <m:e>
                <m:r>
                  <m:rPr>
                    <m:nor/>
                  </m:rPr>
                  <w:rPr>
                    <w:rFonts w:ascii="Times New Roman" w:eastAsia="Times New Roman" w:hAnsi="Times New Roman" w:cs="Times New Roman"/>
                    <w:i/>
                    <w:sz w:val="24"/>
                    <w:szCs w:val="24"/>
                  </w:rPr>
                  <m:t>ρ</m:t>
                </m:r>
              </m:e>
            </m:acc>
          </m:e>
        </m:acc>
      </m:oMath>
      <w:r>
        <w:rPr>
          <w:rFonts w:ascii="Times New Roman" w:eastAsia="Times New Roman" w:hAnsi="Times New Roman" w:cs="Times New Roman"/>
          <w:sz w:val="24"/>
          <w:szCs w:val="24"/>
        </w:rPr>
        <w:t xml:space="preserve"> = .10)</w:t>
      </w:r>
      <w:r w:rsidR="005356D4">
        <w:rPr>
          <w:rFonts w:ascii="Times New Roman" w:eastAsia="Times New Roman" w:hAnsi="Times New Roman" w:cs="Times New Roman"/>
          <w:sz w:val="24"/>
          <w:szCs w:val="24"/>
        </w:rPr>
        <w:t>; however,</w:t>
      </w:r>
      <w:r>
        <w:rPr>
          <w:rFonts w:ascii="Times New Roman" w:eastAsia="Times New Roman" w:hAnsi="Times New Roman" w:cs="Times New Roman"/>
          <w:sz w:val="24"/>
          <w:szCs w:val="24"/>
        </w:rPr>
        <w:t xml:space="preserve"> for the</w:t>
      </w:r>
      <w:r w:rsidR="006F076F">
        <w:rPr>
          <w:rFonts w:ascii="Times New Roman" w:eastAsia="Times New Roman" w:hAnsi="Times New Roman" w:cs="Times New Roman"/>
          <w:sz w:val="24"/>
          <w:szCs w:val="24"/>
        </w:rPr>
        <w:t>se</w:t>
      </w:r>
      <w:r>
        <w:rPr>
          <w:rFonts w:ascii="Times New Roman" w:eastAsia="Times New Roman" w:hAnsi="Times New Roman" w:cs="Times New Roman"/>
          <w:sz w:val="24"/>
          <w:szCs w:val="24"/>
        </w:rPr>
        <w:t xml:space="preserve"> 2 associations with asymmetric funnel plots, the trim and fill procedure did not change either the direction or statistical significance of the meta-analytic associations. </w:t>
      </w:r>
    </w:p>
    <w:p w14:paraId="00000008" w14:textId="79E82D72" w:rsidR="001A7E40" w:rsidRDefault="00940D1C">
      <w:pPr>
        <w:widowControl w:val="0"/>
        <w:spacing w:line="480" w:lineRule="auto"/>
        <w:rPr>
          <w:rFonts w:ascii="Times New Roman" w:eastAsia="Times New Roman" w:hAnsi="Times New Roman" w:cs="Times New Roman"/>
          <w:sz w:val="24"/>
          <w:szCs w:val="24"/>
        </w:rPr>
      </w:pPr>
      <w:r>
        <w:rPr>
          <w:rFonts w:ascii="Times New Roman" w:eastAsia="Times New Roman" w:hAnsi="Times New Roman" w:cs="Times New Roman"/>
          <w:i/>
          <w:sz w:val="24"/>
          <w:szCs w:val="24"/>
        </w:rPr>
        <w:tab/>
      </w:r>
      <w:r>
        <w:rPr>
          <w:rFonts w:ascii="Times New Roman" w:eastAsia="Times New Roman" w:hAnsi="Times New Roman" w:cs="Times New Roman"/>
          <w:sz w:val="24"/>
          <w:szCs w:val="24"/>
        </w:rPr>
        <w:t xml:space="preserve">Next, we consider second-order sampling error. An alternative explanation for an observed moderation effect of culture is second-order sampling error at the country-level. To address this issue, we used two methods: (a) a second-order meta-analysis (Schmidt &amp; Oh, 2013), and (b) a hierarchical, 3-level meta-analysis (Assink &amp; </w:t>
      </w:r>
      <w:proofErr w:type="spellStart"/>
      <w:r>
        <w:rPr>
          <w:rFonts w:ascii="Times New Roman" w:eastAsia="Times New Roman" w:hAnsi="Times New Roman" w:cs="Times New Roman"/>
          <w:sz w:val="24"/>
          <w:szCs w:val="24"/>
        </w:rPr>
        <w:t>Wibbelink</w:t>
      </w:r>
      <w:proofErr w:type="spellEnd"/>
      <w:r>
        <w:rPr>
          <w:rFonts w:ascii="Times New Roman" w:eastAsia="Times New Roman" w:hAnsi="Times New Roman" w:cs="Times New Roman"/>
          <w:sz w:val="24"/>
          <w:szCs w:val="24"/>
        </w:rPr>
        <w:t>, 2016). We first performed second-order meta-analysis in which correlations have been individually corrected. Country is considered the higher order cluster variable (we also coded studies in which participants were from multiple countries as "Mixed"). Then, we examined the proportion of observed variance across first order effect sizes that is due to second-order sampling error variance (labeled “</w:t>
      </w:r>
      <w:r>
        <w:rPr>
          <w:rFonts w:ascii="Times New Roman" w:eastAsia="Times New Roman" w:hAnsi="Times New Roman" w:cs="Times New Roman"/>
          <w:i/>
          <w:sz w:val="24"/>
          <w:szCs w:val="24"/>
        </w:rPr>
        <w:t>ProVar</w:t>
      </w:r>
      <w:r>
        <w:rPr>
          <w:rFonts w:ascii="Times New Roman" w:eastAsia="Times New Roman" w:hAnsi="Times New Roman" w:cs="Times New Roman"/>
          <w:sz w:val="24"/>
          <w:szCs w:val="24"/>
        </w:rPr>
        <w:t>”; see Schmidt &amp; Oh, 2013, p. 211). We examined correlations between [FFM traits + Honesty-Humility] and: (a) leader emergence, and (b) leader effectiveness, which resulted in 11 separate second-order meta-analyses (ProVar cannot be estimated for HH-leader emergence relationship due to all studies being from the same country).</w:t>
      </w:r>
      <w:r>
        <w:rPr>
          <w:rFonts w:ascii="Times New Roman" w:eastAsia="Times New Roman" w:hAnsi="Times New Roman" w:cs="Times New Roman"/>
          <w:sz w:val="24"/>
          <w:szCs w:val="24"/>
          <w:highlight w:val="yellow"/>
        </w:rPr>
        <w:t xml:space="preserve"> </w:t>
      </w:r>
      <w:r>
        <w:rPr>
          <w:rFonts w:ascii="Times New Roman" w:eastAsia="Times New Roman" w:hAnsi="Times New Roman" w:cs="Times New Roman"/>
          <w:sz w:val="24"/>
          <w:szCs w:val="24"/>
        </w:rPr>
        <w:t xml:space="preserve">For correlations between FFM traits and leader emergence, values of ProVar ranged from 4.33% [Agreeableness] to 33.96% [Emotional Stability], with a mean value of 20.78%. For correlations between FFM traits </w:t>
      </w:r>
      <w:r w:rsidR="005B025E">
        <w:rPr>
          <w:rFonts w:ascii="Times New Roman" w:eastAsia="Times New Roman" w:hAnsi="Times New Roman" w:cs="Times New Roman"/>
          <w:sz w:val="24"/>
          <w:szCs w:val="24"/>
        </w:rPr>
        <w:t>and</w:t>
      </w:r>
      <w:r>
        <w:rPr>
          <w:rFonts w:ascii="Times New Roman" w:eastAsia="Times New Roman" w:hAnsi="Times New Roman" w:cs="Times New Roman"/>
          <w:sz w:val="24"/>
          <w:szCs w:val="24"/>
        </w:rPr>
        <w:t xml:space="preserve"> Honesty-Humility </w:t>
      </w:r>
      <w:r w:rsidR="005B025E">
        <w:rPr>
          <w:rFonts w:ascii="Times New Roman" w:eastAsia="Times New Roman" w:hAnsi="Times New Roman" w:cs="Times New Roman"/>
          <w:sz w:val="24"/>
          <w:szCs w:val="24"/>
        </w:rPr>
        <w:t>with</w:t>
      </w:r>
      <w:r>
        <w:rPr>
          <w:rFonts w:ascii="Times New Roman" w:eastAsia="Times New Roman" w:hAnsi="Times New Roman" w:cs="Times New Roman"/>
          <w:sz w:val="24"/>
          <w:szCs w:val="24"/>
        </w:rPr>
        <w:t xml:space="preserve"> leader effectiveness, values of ProVar were consistently below 16%. These results implied only weak effects of second-order sampling error in the observed cultural differences. </w:t>
      </w:r>
    </w:p>
    <w:p w14:paraId="00000009" w14:textId="383C2D7E" w:rsidR="001A7E40" w:rsidRDefault="00940D1C">
      <w:pPr>
        <w:widowControl w:val="0"/>
        <w:spacing w:line="480" w:lineRule="auto"/>
        <w:ind w:firstLine="720"/>
        <w:rPr>
          <w:rFonts w:ascii="Times New Roman" w:eastAsia="Times New Roman" w:hAnsi="Times New Roman" w:cs="Times New Roman"/>
          <w:sz w:val="24"/>
          <w:szCs w:val="24"/>
          <w:vertAlign w:val="superscript"/>
        </w:rPr>
      </w:pPr>
      <w:r>
        <w:rPr>
          <w:rFonts w:ascii="Times New Roman" w:eastAsia="Times New Roman" w:hAnsi="Times New Roman" w:cs="Times New Roman"/>
          <w:sz w:val="24"/>
          <w:szCs w:val="24"/>
        </w:rPr>
        <w:t xml:space="preserve">We also conducted 3-level meta-analyses using the methods and code from Assink and </w:t>
      </w:r>
      <w:proofErr w:type="spellStart"/>
      <w:r>
        <w:rPr>
          <w:rFonts w:ascii="Times New Roman" w:eastAsia="Times New Roman" w:hAnsi="Times New Roman" w:cs="Times New Roman"/>
          <w:sz w:val="24"/>
          <w:szCs w:val="24"/>
        </w:rPr>
        <w:t>Wibbelink</w:t>
      </w:r>
      <w:proofErr w:type="spellEnd"/>
      <w:r>
        <w:rPr>
          <w:rFonts w:ascii="Times New Roman" w:eastAsia="Times New Roman" w:hAnsi="Times New Roman" w:cs="Times New Roman"/>
          <w:sz w:val="24"/>
          <w:szCs w:val="24"/>
        </w:rPr>
        <w:t xml:space="preserve"> (2016) and Harrer et al. (2019). Total variance of effect sizes across studies is modeled on three levels: sampling variance (level 1), within-country level variance (level 2), and </w:t>
      </w:r>
      <w:r>
        <w:rPr>
          <w:rFonts w:ascii="Times New Roman" w:eastAsia="Times New Roman" w:hAnsi="Times New Roman" w:cs="Times New Roman"/>
          <w:sz w:val="24"/>
          <w:szCs w:val="24"/>
        </w:rPr>
        <w:lastRenderedPageBreak/>
        <w:t>between-country level variance (level 3). In order to examine the moderating effect of national culture, which is a between-country moderator, there needs to be statistically significant level 3 variance (assessed via log-likelihood ratio tests). We further examined the proportion of total variance attributable to level 3 heterogeneity using the 75% rule (Hunter &amp; Schmidt, 1990).</w:t>
      </w:r>
      <w:r>
        <w:rPr>
          <w:rFonts w:ascii="Times New Roman" w:eastAsia="Times New Roman" w:hAnsi="Times New Roman" w:cs="Times New Roman"/>
          <w:sz w:val="24"/>
          <w:szCs w:val="24"/>
          <w:vertAlign w:val="superscript"/>
        </w:rPr>
        <w:footnoteReference w:id="1"/>
      </w:r>
      <w:r>
        <w:rPr>
          <w:rFonts w:ascii="Times New Roman" w:eastAsia="Times New Roman" w:hAnsi="Times New Roman" w:cs="Times New Roman"/>
          <w:sz w:val="24"/>
          <w:szCs w:val="24"/>
        </w:rPr>
        <w:t xml:space="preserve"> For trait Agreeableness, level 3 variance was statistically significant for correlations with both leader emergence and leader effectiveness. Moreover, the proportions of total variance in effect sizes accounted for by level 3 (country) were 36% and 89% for emergence and effectiveness respectively, which also satisfied Hunter and Schmidt's (1990) 75% rule</w:t>
      </w:r>
      <w:r w:rsidR="00261CB3">
        <w:rPr>
          <w:rFonts w:ascii="Times New Roman" w:eastAsia="Times New Roman" w:hAnsi="Times New Roman" w:cs="Times New Roman"/>
          <w:sz w:val="24"/>
          <w:szCs w:val="24"/>
        </w:rPr>
        <w:t xml:space="preserve"> (&lt;75%</w:t>
      </w:r>
      <w:r w:rsidR="00487E6D">
        <w:rPr>
          <w:rFonts w:ascii="Times New Roman" w:eastAsia="Times New Roman" w:hAnsi="Times New Roman" w:cs="Times New Roman"/>
          <w:sz w:val="24"/>
          <w:szCs w:val="24"/>
        </w:rPr>
        <w:t xml:space="preserve"> variance at level 1</w:t>
      </w:r>
      <w:r w:rsidR="00261CB3">
        <w:rPr>
          <w:rFonts w:ascii="Times New Roman" w:eastAsia="Times New Roman" w:hAnsi="Times New Roman" w:cs="Times New Roman"/>
          <w:sz w:val="24"/>
          <w:szCs w:val="24"/>
        </w:rPr>
        <w:t>)</w:t>
      </w:r>
      <w:r>
        <w:rPr>
          <w:rFonts w:ascii="Times New Roman" w:eastAsia="Times New Roman" w:hAnsi="Times New Roman" w:cs="Times New Roman"/>
          <w:sz w:val="24"/>
          <w:szCs w:val="24"/>
        </w:rPr>
        <w:t>. Likewise, for trait Extraversion, level 3 variance was statistically significant for correlations with leader effectiveness, again satisfying the 75% rule—accounting for 59% of the total variance—but was not significant for leader emergence. With regard to Honesty-Humility, level 3 variance was not statistically significant for correlations with leader effectiveness, and 51.98% of the total variance in effect sizes is accounted for.</w:t>
      </w:r>
      <w:r>
        <w:rPr>
          <w:rFonts w:ascii="Times New Roman" w:eastAsia="Times New Roman" w:hAnsi="Times New Roman" w:cs="Times New Roman"/>
          <w:sz w:val="24"/>
          <w:szCs w:val="24"/>
          <w:vertAlign w:val="superscript"/>
        </w:rPr>
        <w:footnoteReference w:id="2"/>
      </w:r>
    </w:p>
    <w:p w14:paraId="0000000A" w14:textId="77777777" w:rsidR="001A7E40" w:rsidRDefault="00940D1C">
      <w:pPr>
        <w:widowControl w:val="0"/>
        <w:spacing w:line="480" w:lineRule="auto"/>
        <w:ind w:firstLine="720"/>
        <w:rPr>
          <w:rFonts w:ascii="Times New Roman" w:eastAsia="Times New Roman" w:hAnsi="Times New Roman" w:cs="Times New Roman"/>
        </w:rPr>
      </w:pPr>
      <w:r>
        <w:br w:type="page"/>
      </w:r>
      <w:r>
        <w:rPr>
          <w:rFonts w:ascii="Times New Roman" w:eastAsia="Times New Roman" w:hAnsi="Times New Roman" w:cs="Times New Roman"/>
          <w:b/>
          <w:sz w:val="24"/>
          <w:szCs w:val="24"/>
        </w:rPr>
        <w:lastRenderedPageBreak/>
        <w:t>Appendix E. Procedures for Imputing Missing Facet Intercorrelations</w:t>
      </w:r>
    </w:p>
    <w:p w14:paraId="0000000B" w14:textId="3B9ED8D7" w:rsidR="001A7E40" w:rsidRPr="00940D1C" w:rsidRDefault="003C0BAC">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When needed, w</w:t>
      </w:r>
      <w:r w:rsidR="00940D1C" w:rsidRPr="00940D1C">
        <w:rPr>
          <w:rFonts w:ascii="Times New Roman" w:eastAsia="Times New Roman" w:hAnsi="Times New Roman" w:cs="Times New Roman"/>
          <w:sz w:val="24"/>
          <w:szCs w:val="24"/>
        </w:rPr>
        <w:t>e imputed missing values for facet intercorrelations in each primary study as follows:</w:t>
      </w:r>
    </w:p>
    <w:p w14:paraId="0000000C" w14:textId="77777777" w:rsidR="001A7E40" w:rsidRPr="00940D1C" w:rsidRDefault="00940D1C">
      <w:pPr>
        <w:numPr>
          <w:ilvl w:val="0"/>
          <w:numId w:val="1"/>
        </w:numPr>
        <w:spacing w:before="240"/>
        <w:jc w:val="both"/>
        <w:rPr>
          <w:rFonts w:ascii="Times New Roman" w:eastAsia="Times New Roman" w:hAnsi="Times New Roman" w:cs="Times New Roman"/>
          <w:sz w:val="24"/>
          <w:szCs w:val="24"/>
        </w:rPr>
      </w:pPr>
      <w:r w:rsidRPr="00940D1C">
        <w:rPr>
          <w:rFonts w:ascii="Times New Roman" w:eastAsia="Times New Roman" w:hAnsi="Times New Roman" w:cs="Times New Roman"/>
          <w:sz w:val="24"/>
          <w:szCs w:val="24"/>
        </w:rPr>
        <w:t>For correlations between self-reported FFM facets, we used the dataset from Johnson (2005) to calculate FFM facet correlations (</w:t>
      </w:r>
      <w:r w:rsidRPr="00940D1C">
        <w:rPr>
          <w:rFonts w:ascii="Times New Roman" w:eastAsia="Times New Roman" w:hAnsi="Times New Roman" w:cs="Times New Roman"/>
          <w:i/>
          <w:sz w:val="24"/>
          <w:szCs w:val="24"/>
        </w:rPr>
        <w:t>N</w:t>
      </w:r>
      <w:r w:rsidRPr="00940D1C">
        <w:rPr>
          <w:rFonts w:ascii="Times New Roman" w:eastAsia="Times New Roman" w:hAnsi="Times New Roman" w:cs="Times New Roman"/>
          <w:sz w:val="24"/>
          <w:szCs w:val="24"/>
        </w:rPr>
        <w:t xml:space="preserve"> = 20,993 participants), which used the IPIP-NEO proxy for the NEO PI-R facets (six facets per FFM trait). We first calculated the mean across facet correlations separately for each FFM trait, and then we calculated the mean of these five values (mean facet </w:t>
      </w:r>
      <w:r w:rsidRPr="00940D1C">
        <w:rPr>
          <w:rFonts w:ascii="Times New Roman" w:eastAsia="Times New Roman" w:hAnsi="Times New Roman" w:cs="Times New Roman"/>
          <w:i/>
          <w:sz w:val="24"/>
          <w:szCs w:val="24"/>
        </w:rPr>
        <w:t>r</w:t>
      </w:r>
      <w:r w:rsidRPr="00940D1C">
        <w:rPr>
          <w:rFonts w:ascii="Times New Roman" w:eastAsia="Times New Roman" w:hAnsi="Times New Roman" w:cs="Times New Roman"/>
          <w:sz w:val="24"/>
          <w:szCs w:val="24"/>
        </w:rPr>
        <w:t xml:space="preserve"> = .40912), to be used as the imputed facet correlation (correlation between FFM facets for a single FFM trait).</w:t>
      </w:r>
    </w:p>
    <w:p w14:paraId="0000000D" w14:textId="77777777" w:rsidR="001A7E40" w:rsidRPr="00940D1C" w:rsidRDefault="00940D1C">
      <w:pPr>
        <w:numPr>
          <w:ilvl w:val="0"/>
          <w:numId w:val="1"/>
        </w:numPr>
        <w:jc w:val="both"/>
        <w:rPr>
          <w:rFonts w:ascii="Times New Roman" w:eastAsia="Times New Roman" w:hAnsi="Times New Roman" w:cs="Times New Roman"/>
          <w:sz w:val="24"/>
          <w:szCs w:val="24"/>
        </w:rPr>
      </w:pPr>
      <w:r w:rsidRPr="00940D1C">
        <w:rPr>
          <w:rFonts w:ascii="Times New Roman" w:eastAsia="Times New Roman" w:hAnsi="Times New Roman" w:cs="Times New Roman"/>
          <w:sz w:val="24"/>
          <w:szCs w:val="24"/>
        </w:rPr>
        <w:t>For correlations between FFM multisource measures of a trait (that contained multiple other-reported, or self- and other-reported ratings of a trait), we referred to Ones &amp; Connelly (2010) and used the mean of FFM meta-analytic self-other or other-other observed correlations as the imputed correlation between self-other (</w:t>
      </w:r>
      <w:r w:rsidRPr="00940D1C">
        <w:rPr>
          <w:rFonts w:ascii="Times New Roman" w:eastAsia="Times New Roman" w:hAnsi="Times New Roman" w:cs="Times New Roman"/>
          <w:i/>
          <w:sz w:val="24"/>
          <w:szCs w:val="24"/>
        </w:rPr>
        <w:t>r</w:t>
      </w:r>
      <w:r w:rsidRPr="00940D1C">
        <w:rPr>
          <w:rFonts w:ascii="Times New Roman" w:eastAsia="Times New Roman" w:hAnsi="Times New Roman" w:cs="Times New Roman"/>
          <w:sz w:val="24"/>
          <w:szCs w:val="24"/>
        </w:rPr>
        <w:t xml:space="preserve"> = .350) or other-other (</w:t>
      </w:r>
      <w:r w:rsidRPr="00940D1C">
        <w:rPr>
          <w:rFonts w:ascii="Times New Roman" w:eastAsia="Times New Roman" w:hAnsi="Times New Roman" w:cs="Times New Roman"/>
          <w:i/>
          <w:sz w:val="24"/>
          <w:szCs w:val="24"/>
        </w:rPr>
        <w:t>r</w:t>
      </w:r>
      <w:r w:rsidRPr="00940D1C">
        <w:rPr>
          <w:rFonts w:ascii="Times New Roman" w:eastAsia="Times New Roman" w:hAnsi="Times New Roman" w:cs="Times New Roman"/>
          <w:sz w:val="24"/>
          <w:szCs w:val="24"/>
        </w:rPr>
        <w:t xml:space="preserve"> = .296) ratings.</w:t>
      </w:r>
    </w:p>
    <w:p w14:paraId="0000000E" w14:textId="77777777" w:rsidR="001A7E40" w:rsidRPr="00940D1C" w:rsidRDefault="00940D1C">
      <w:pPr>
        <w:numPr>
          <w:ilvl w:val="0"/>
          <w:numId w:val="1"/>
        </w:numPr>
        <w:spacing w:after="240"/>
        <w:jc w:val="both"/>
        <w:rPr>
          <w:rFonts w:ascii="Times New Roman" w:eastAsia="Times New Roman" w:hAnsi="Times New Roman" w:cs="Times New Roman"/>
          <w:sz w:val="24"/>
          <w:szCs w:val="24"/>
        </w:rPr>
      </w:pPr>
      <w:r w:rsidRPr="00940D1C">
        <w:rPr>
          <w:rFonts w:ascii="Times New Roman" w:eastAsia="Times New Roman" w:hAnsi="Times New Roman" w:cs="Times New Roman"/>
          <w:sz w:val="24"/>
          <w:szCs w:val="24"/>
        </w:rPr>
        <w:t xml:space="preserve">For correlations between leadership facets, we used Shaffer et al.’s (2016) Table 1, to calculate the average correlation between TFL, CR, charismatic, LMX, initiating structure, consideration, ethical, and servant leadership (mean </w:t>
      </w:r>
      <w:r w:rsidRPr="00940D1C">
        <w:rPr>
          <w:rFonts w:ascii="Times New Roman" w:eastAsia="Times New Roman" w:hAnsi="Times New Roman" w:cs="Times New Roman"/>
          <w:i/>
          <w:sz w:val="24"/>
          <w:szCs w:val="24"/>
        </w:rPr>
        <w:t>r</w:t>
      </w:r>
      <w:r w:rsidRPr="00940D1C">
        <w:rPr>
          <w:rFonts w:ascii="Times New Roman" w:eastAsia="Times New Roman" w:hAnsi="Times New Roman" w:cs="Times New Roman"/>
          <w:sz w:val="24"/>
          <w:szCs w:val="24"/>
        </w:rPr>
        <w:t xml:space="preserve"> = .75694).</w:t>
      </w:r>
    </w:p>
    <w:p w14:paraId="0000000F" w14:textId="77777777" w:rsidR="001A7E40" w:rsidRPr="00940D1C" w:rsidRDefault="00940D1C">
      <w:pPr>
        <w:spacing w:before="240" w:after="240"/>
        <w:jc w:val="both"/>
        <w:rPr>
          <w:rFonts w:ascii="Times New Roman" w:eastAsia="Times New Roman" w:hAnsi="Times New Roman" w:cs="Times New Roman"/>
          <w:sz w:val="24"/>
          <w:szCs w:val="24"/>
        </w:rPr>
      </w:pPr>
      <w:r w:rsidRPr="00940D1C">
        <w:rPr>
          <w:rFonts w:ascii="Times New Roman" w:eastAsia="Times New Roman" w:hAnsi="Times New Roman" w:cs="Times New Roman"/>
          <w:sz w:val="24"/>
          <w:szCs w:val="24"/>
        </w:rPr>
        <w:t>We note that the composite correlation method using the above-described imputed facet intercorrelations produced roughly the same magnitude of meta-analytic correlations as compared to the more common method of using a mixture of composite correlations and average correlations when facet correlations were not reported (ρ increased by .01 at most).</w:t>
      </w:r>
    </w:p>
    <w:p w14:paraId="00000010" w14:textId="77777777" w:rsidR="001A7E40" w:rsidRPr="00940D1C" w:rsidRDefault="00940D1C">
      <w:pPr>
        <w:spacing w:line="240" w:lineRule="auto"/>
        <w:ind w:left="720" w:hanging="720"/>
        <w:jc w:val="both"/>
        <w:rPr>
          <w:rFonts w:ascii="Times New Roman" w:eastAsia="Times New Roman" w:hAnsi="Times New Roman" w:cs="Times New Roman"/>
          <w:sz w:val="24"/>
          <w:szCs w:val="24"/>
        </w:rPr>
      </w:pPr>
      <w:r w:rsidRPr="00940D1C">
        <w:rPr>
          <w:rFonts w:ascii="Times New Roman" w:eastAsia="Times New Roman" w:hAnsi="Times New Roman" w:cs="Times New Roman"/>
          <w:sz w:val="24"/>
          <w:szCs w:val="24"/>
        </w:rPr>
        <w:t xml:space="preserve">Johnson, J. A. (2005). Ascertaining the validity of individual protocols from web-based personality inventories. </w:t>
      </w:r>
      <w:r w:rsidRPr="00940D1C">
        <w:rPr>
          <w:rFonts w:ascii="Times New Roman" w:eastAsia="Times New Roman" w:hAnsi="Times New Roman" w:cs="Times New Roman"/>
          <w:i/>
          <w:sz w:val="24"/>
          <w:szCs w:val="24"/>
        </w:rPr>
        <w:t>Journal of Research in Personality</w:t>
      </w:r>
      <w:r w:rsidRPr="00940D1C">
        <w:rPr>
          <w:rFonts w:ascii="Times New Roman" w:eastAsia="Times New Roman" w:hAnsi="Times New Roman" w:cs="Times New Roman"/>
          <w:sz w:val="24"/>
          <w:szCs w:val="24"/>
        </w:rPr>
        <w:t xml:space="preserve">, </w:t>
      </w:r>
      <w:r w:rsidRPr="00940D1C">
        <w:rPr>
          <w:rFonts w:ascii="Times New Roman" w:eastAsia="Times New Roman" w:hAnsi="Times New Roman" w:cs="Times New Roman"/>
          <w:i/>
          <w:sz w:val="24"/>
          <w:szCs w:val="24"/>
        </w:rPr>
        <w:t>39</w:t>
      </w:r>
      <w:r w:rsidRPr="00940D1C">
        <w:rPr>
          <w:rFonts w:ascii="Times New Roman" w:eastAsia="Times New Roman" w:hAnsi="Times New Roman" w:cs="Times New Roman"/>
          <w:sz w:val="24"/>
          <w:szCs w:val="24"/>
        </w:rPr>
        <w:t>(1), 103-129.</w:t>
      </w:r>
    </w:p>
    <w:p w14:paraId="00000011" w14:textId="77777777" w:rsidR="001A7E40" w:rsidRPr="00940D1C" w:rsidRDefault="00940D1C">
      <w:pPr>
        <w:spacing w:line="240" w:lineRule="auto"/>
        <w:ind w:left="720" w:hanging="720"/>
        <w:jc w:val="both"/>
        <w:rPr>
          <w:rFonts w:ascii="Times New Roman" w:eastAsia="Times New Roman" w:hAnsi="Times New Roman" w:cs="Times New Roman"/>
          <w:color w:val="222222"/>
          <w:sz w:val="24"/>
          <w:szCs w:val="24"/>
          <w:highlight w:val="white"/>
        </w:rPr>
      </w:pPr>
      <w:r w:rsidRPr="00940D1C">
        <w:rPr>
          <w:rFonts w:ascii="Times New Roman" w:eastAsia="Times New Roman" w:hAnsi="Times New Roman" w:cs="Times New Roman"/>
          <w:color w:val="222222"/>
          <w:sz w:val="24"/>
          <w:szCs w:val="24"/>
          <w:highlight w:val="white"/>
        </w:rPr>
        <w:t xml:space="preserve">Shaffer, J. A., DeGeest, D., &amp; Li, A. (2016). Tackling the problem of construct proliferation: A guide to assessing the discriminant validity of conceptually related constructs. </w:t>
      </w:r>
      <w:r w:rsidRPr="00940D1C">
        <w:rPr>
          <w:rFonts w:ascii="Times New Roman" w:eastAsia="Times New Roman" w:hAnsi="Times New Roman" w:cs="Times New Roman"/>
          <w:i/>
          <w:color w:val="222222"/>
          <w:sz w:val="24"/>
          <w:szCs w:val="24"/>
          <w:highlight w:val="white"/>
        </w:rPr>
        <w:t>Organizational Research Methods</w:t>
      </w:r>
      <w:r w:rsidRPr="00940D1C">
        <w:rPr>
          <w:rFonts w:ascii="Times New Roman" w:eastAsia="Times New Roman" w:hAnsi="Times New Roman" w:cs="Times New Roman"/>
          <w:color w:val="222222"/>
          <w:sz w:val="24"/>
          <w:szCs w:val="24"/>
          <w:highlight w:val="white"/>
        </w:rPr>
        <w:t xml:space="preserve">, </w:t>
      </w:r>
      <w:r w:rsidRPr="00940D1C">
        <w:rPr>
          <w:rFonts w:ascii="Times New Roman" w:eastAsia="Times New Roman" w:hAnsi="Times New Roman" w:cs="Times New Roman"/>
          <w:i/>
          <w:color w:val="222222"/>
          <w:sz w:val="24"/>
          <w:szCs w:val="24"/>
          <w:highlight w:val="white"/>
        </w:rPr>
        <w:t>19</w:t>
      </w:r>
      <w:r w:rsidRPr="00940D1C">
        <w:rPr>
          <w:rFonts w:ascii="Times New Roman" w:eastAsia="Times New Roman" w:hAnsi="Times New Roman" w:cs="Times New Roman"/>
          <w:color w:val="222222"/>
          <w:sz w:val="24"/>
          <w:szCs w:val="24"/>
          <w:highlight w:val="white"/>
        </w:rPr>
        <w:t>(1), 80-11.</w:t>
      </w:r>
    </w:p>
    <w:p w14:paraId="00000012" w14:textId="77777777" w:rsidR="001A7E40" w:rsidRPr="00940D1C" w:rsidRDefault="00940D1C">
      <w:pPr>
        <w:spacing w:line="240" w:lineRule="auto"/>
        <w:ind w:left="720" w:hanging="720"/>
        <w:jc w:val="both"/>
        <w:rPr>
          <w:rFonts w:ascii="Times New Roman" w:eastAsia="Times New Roman" w:hAnsi="Times New Roman" w:cs="Times New Roman"/>
          <w:color w:val="222222"/>
          <w:sz w:val="24"/>
          <w:szCs w:val="24"/>
          <w:highlight w:val="white"/>
        </w:rPr>
      </w:pPr>
      <w:r w:rsidRPr="00940D1C">
        <w:rPr>
          <w:rFonts w:ascii="Times New Roman" w:eastAsia="Times New Roman" w:hAnsi="Times New Roman" w:cs="Times New Roman"/>
          <w:color w:val="222222"/>
          <w:sz w:val="24"/>
          <w:szCs w:val="24"/>
          <w:highlight w:val="white"/>
        </w:rPr>
        <w:t xml:space="preserve">Connelly, B. S., &amp; Ones, D. S. (2010). </w:t>
      </w:r>
      <w:proofErr w:type="gramStart"/>
      <w:r w:rsidRPr="00940D1C">
        <w:rPr>
          <w:rFonts w:ascii="Times New Roman" w:eastAsia="Times New Roman" w:hAnsi="Times New Roman" w:cs="Times New Roman"/>
          <w:color w:val="222222"/>
          <w:sz w:val="24"/>
          <w:szCs w:val="24"/>
          <w:highlight w:val="white"/>
        </w:rPr>
        <w:t>An other</w:t>
      </w:r>
      <w:proofErr w:type="gramEnd"/>
      <w:r w:rsidRPr="00940D1C">
        <w:rPr>
          <w:rFonts w:ascii="Times New Roman" w:eastAsia="Times New Roman" w:hAnsi="Times New Roman" w:cs="Times New Roman"/>
          <w:color w:val="222222"/>
          <w:sz w:val="24"/>
          <w:szCs w:val="24"/>
          <w:highlight w:val="white"/>
        </w:rPr>
        <w:t xml:space="preserve"> perspective on personality: meta-analytic integration of observers' accuracy and predictive validity. </w:t>
      </w:r>
      <w:r w:rsidRPr="00940D1C">
        <w:rPr>
          <w:rFonts w:ascii="Times New Roman" w:eastAsia="Times New Roman" w:hAnsi="Times New Roman" w:cs="Times New Roman"/>
          <w:i/>
          <w:color w:val="222222"/>
          <w:sz w:val="24"/>
          <w:szCs w:val="24"/>
          <w:highlight w:val="white"/>
        </w:rPr>
        <w:t>Psychological Bulletin</w:t>
      </w:r>
      <w:r w:rsidRPr="00940D1C">
        <w:rPr>
          <w:rFonts w:ascii="Times New Roman" w:eastAsia="Times New Roman" w:hAnsi="Times New Roman" w:cs="Times New Roman"/>
          <w:color w:val="222222"/>
          <w:sz w:val="24"/>
          <w:szCs w:val="24"/>
          <w:highlight w:val="white"/>
        </w:rPr>
        <w:t xml:space="preserve">, </w:t>
      </w:r>
      <w:r w:rsidRPr="00940D1C">
        <w:rPr>
          <w:rFonts w:ascii="Times New Roman" w:eastAsia="Times New Roman" w:hAnsi="Times New Roman" w:cs="Times New Roman"/>
          <w:i/>
          <w:color w:val="222222"/>
          <w:sz w:val="24"/>
          <w:szCs w:val="24"/>
          <w:highlight w:val="white"/>
        </w:rPr>
        <w:t>136</w:t>
      </w:r>
      <w:r w:rsidRPr="00940D1C">
        <w:rPr>
          <w:rFonts w:ascii="Times New Roman" w:eastAsia="Times New Roman" w:hAnsi="Times New Roman" w:cs="Times New Roman"/>
          <w:color w:val="222222"/>
          <w:sz w:val="24"/>
          <w:szCs w:val="24"/>
          <w:highlight w:val="white"/>
        </w:rPr>
        <w:t>(6), 1092.</w:t>
      </w:r>
    </w:p>
    <w:p w14:paraId="00000013" w14:textId="77777777" w:rsidR="001A7E40" w:rsidRDefault="00940D1C">
      <w:pPr>
        <w:widowControl w:val="0"/>
        <w:spacing w:line="480" w:lineRule="auto"/>
        <w:rPr>
          <w:rFonts w:ascii="Times New Roman" w:eastAsia="Times New Roman" w:hAnsi="Times New Roman" w:cs="Times New Roman"/>
          <w:b/>
          <w:sz w:val="24"/>
          <w:szCs w:val="24"/>
        </w:rPr>
      </w:pPr>
      <w:r>
        <w:br w:type="page"/>
      </w:r>
    </w:p>
    <w:p w14:paraId="00000014" w14:textId="77777777" w:rsidR="001A7E40" w:rsidRDefault="001A7E40">
      <w:pPr>
        <w:spacing w:before="280" w:line="240" w:lineRule="auto"/>
        <w:rPr>
          <w:rFonts w:ascii="Times New Roman" w:eastAsia="Times New Roman" w:hAnsi="Times New Roman" w:cs="Times New Roman"/>
          <w:sz w:val="18"/>
          <w:szCs w:val="18"/>
        </w:rPr>
      </w:pPr>
    </w:p>
    <w:p w14:paraId="00000015" w14:textId="4938EDA2" w:rsidR="001A7E40" w:rsidRDefault="00940D1C">
      <w:pPr>
        <w:widowControl w:val="0"/>
        <w:spacing w:line="48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Appendix F. List of Personality Inventories with and without Identifiable </w:t>
      </w:r>
      <w:r w:rsidR="00A14567">
        <w:rPr>
          <w:rFonts w:ascii="Times New Roman" w:eastAsia="Times New Roman" w:hAnsi="Times New Roman" w:cs="Times New Roman"/>
          <w:b/>
          <w:sz w:val="24"/>
          <w:szCs w:val="24"/>
        </w:rPr>
        <w:t>Source Articles</w:t>
      </w:r>
    </w:p>
    <w:p w14:paraId="00000016" w14:textId="66C154B6" w:rsidR="001A7E40" w:rsidRDefault="00940D1C">
      <w:pPr>
        <w:widowControl w:val="0"/>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Personality inventories with identifiable source articles</w:t>
      </w:r>
      <w:r w:rsidR="008E2912">
        <w:rPr>
          <w:rFonts w:ascii="Times New Roman" w:eastAsia="Times New Roman" w:hAnsi="Times New Roman" w:cs="Times New Roman"/>
          <w:sz w:val="24"/>
          <w:szCs w:val="24"/>
        </w:rPr>
        <w:t xml:space="preserve"> were</w:t>
      </w:r>
      <w:r>
        <w:rPr>
          <w:rFonts w:ascii="Times New Roman" w:eastAsia="Times New Roman" w:hAnsi="Times New Roman" w:cs="Times New Roman"/>
          <w:sz w:val="24"/>
          <w:szCs w:val="24"/>
        </w:rPr>
        <w:t>: NEO, California Psychological Inventory, Edwards Personal Preference Schedule, Guilford-Zimmerman Temperament Survey, Hogan Personality Inventory, Jenkins Activity Survey, Myers-Briggs Type Indicator, Minnesota Multiphasic Personality Inventory, Personality Research Form, Positive and Negative Affect Schedule (PANAS), State-Trait Anxiety Inventory, Work and Family Orientation Questionnaire, 16 Personality Factor Questionnaire, and IPIP</w:t>
      </w:r>
      <w:r w:rsidR="008E2912">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8E2912">
        <w:rPr>
          <w:rFonts w:ascii="Times New Roman" w:eastAsia="Times New Roman" w:hAnsi="Times New Roman" w:cs="Times New Roman"/>
          <w:sz w:val="24"/>
          <w:szCs w:val="24"/>
        </w:rPr>
        <w:t>in addition to</w:t>
      </w:r>
      <w:r>
        <w:rPr>
          <w:rFonts w:ascii="Times New Roman" w:eastAsia="Times New Roman" w:hAnsi="Times New Roman" w:cs="Times New Roman"/>
          <w:sz w:val="24"/>
          <w:szCs w:val="24"/>
        </w:rPr>
        <w:t xml:space="preserve"> HEXACO. See references below (reported in alphabetical order, by inventory name).</w:t>
      </w:r>
    </w:p>
    <w:p w14:paraId="00000017" w14:textId="0DA3C3E2" w:rsidR="001A7E40" w:rsidRDefault="00940D1C">
      <w:pPr>
        <w:widowControl w:val="0"/>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Personality inventories without an identifiable source article</w:t>
      </w:r>
      <w:r w:rsidR="00CE00B2">
        <w:rPr>
          <w:rFonts w:ascii="Times New Roman" w:eastAsia="Times New Roman" w:hAnsi="Times New Roman" w:cs="Times New Roman"/>
          <w:sz w:val="24"/>
          <w:szCs w:val="24"/>
        </w:rPr>
        <w:t xml:space="preserve"> </w:t>
      </w:r>
      <w:proofErr w:type="gramStart"/>
      <w:r w:rsidR="00CE00B2">
        <w:rPr>
          <w:rFonts w:ascii="Times New Roman" w:eastAsia="Times New Roman" w:hAnsi="Times New Roman" w:cs="Times New Roman"/>
          <w:sz w:val="24"/>
          <w:szCs w:val="24"/>
        </w:rPr>
        <w:t>were</w:t>
      </w:r>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Assessment of Background and Life Experiences (ABLE), Adjective Checklist, Bernreuter Personality Inventory, Eysenck Personality Inventory, Gordon Personality Inventory, Gordon Personal Profile Inventory, Jackson Personality Inventory, Manifest Needs Questionnaire, and RIASEC Holland Occupational Themes.</w:t>
      </w:r>
    </w:p>
    <w:p w14:paraId="00000018" w14:textId="77777777" w:rsidR="001A7E40" w:rsidRDefault="001A7E40">
      <w:pPr>
        <w:widowControl w:val="0"/>
        <w:spacing w:line="240" w:lineRule="auto"/>
        <w:ind w:left="720" w:hanging="720"/>
        <w:rPr>
          <w:rFonts w:ascii="Times New Roman" w:eastAsia="Times New Roman" w:hAnsi="Times New Roman" w:cs="Times New Roman"/>
          <w:sz w:val="24"/>
          <w:szCs w:val="24"/>
        </w:rPr>
      </w:pPr>
    </w:p>
    <w:p w14:paraId="00000019" w14:textId="77777777" w:rsidR="001A7E40" w:rsidRDefault="00940D1C">
      <w:pPr>
        <w:widowControl w:val="0"/>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References</w:t>
      </w:r>
    </w:p>
    <w:p w14:paraId="0000001A" w14:textId="77777777" w:rsidR="001A7E40" w:rsidRDefault="00940D1C">
      <w:pPr>
        <w:widowControl w:val="0"/>
        <w:spacing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California Psychological Inventory</w:t>
      </w:r>
    </w:p>
    <w:p w14:paraId="0000001B" w14:textId="77777777" w:rsidR="001A7E40" w:rsidRDefault="00940D1C">
      <w:pPr>
        <w:widowControl w:val="0"/>
        <w:spacing w:line="240" w:lineRule="auto"/>
        <w:ind w:left="708" w:hanging="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Gough, H. G. (1975). </w:t>
      </w:r>
      <w:r>
        <w:rPr>
          <w:rFonts w:ascii="Times New Roman" w:eastAsia="Times New Roman" w:hAnsi="Times New Roman" w:cs="Times New Roman"/>
          <w:i/>
          <w:sz w:val="24"/>
          <w:szCs w:val="24"/>
        </w:rPr>
        <w:t>Manual for the California psychological inventory.</w:t>
      </w:r>
      <w:r>
        <w:rPr>
          <w:rFonts w:ascii="Times New Roman" w:eastAsia="Times New Roman" w:hAnsi="Times New Roman" w:cs="Times New Roman"/>
          <w:sz w:val="24"/>
          <w:szCs w:val="24"/>
        </w:rPr>
        <w:t xml:space="preserve"> Palo Alto, CA: Consulting Psychologists Press.</w:t>
      </w:r>
    </w:p>
    <w:p w14:paraId="0000001C" w14:textId="77777777" w:rsidR="001A7E40" w:rsidRDefault="001A7E40">
      <w:pPr>
        <w:widowControl w:val="0"/>
        <w:spacing w:line="240" w:lineRule="auto"/>
        <w:rPr>
          <w:rFonts w:ascii="Times New Roman" w:eastAsia="Times New Roman" w:hAnsi="Times New Roman" w:cs="Times New Roman"/>
          <w:sz w:val="24"/>
          <w:szCs w:val="24"/>
        </w:rPr>
      </w:pPr>
    </w:p>
    <w:p w14:paraId="0000001D" w14:textId="77777777" w:rsidR="001A7E40" w:rsidRDefault="00940D1C">
      <w:pPr>
        <w:widowControl w:val="0"/>
        <w:spacing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Edwards Personal Preference Schedule</w:t>
      </w:r>
    </w:p>
    <w:p w14:paraId="0000001E" w14:textId="77777777" w:rsidR="001A7E40" w:rsidRDefault="00940D1C">
      <w:pPr>
        <w:widowControl w:val="0"/>
        <w:spacing w:line="240" w:lineRule="auto"/>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Edwards, A. L. (1954). </w:t>
      </w:r>
      <w:r>
        <w:rPr>
          <w:rFonts w:ascii="Times New Roman" w:eastAsia="Times New Roman" w:hAnsi="Times New Roman" w:cs="Times New Roman"/>
          <w:i/>
          <w:sz w:val="24"/>
          <w:szCs w:val="24"/>
        </w:rPr>
        <w:t xml:space="preserve">Edwards personal preference schedule. </w:t>
      </w:r>
    </w:p>
    <w:p w14:paraId="0000001F" w14:textId="77777777" w:rsidR="001A7E40" w:rsidRDefault="001A7E40">
      <w:pPr>
        <w:widowControl w:val="0"/>
        <w:spacing w:line="240" w:lineRule="auto"/>
        <w:rPr>
          <w:rFonts w:ascii="Times New Roman" w:eastAsia="Times New Roman" w:hAnsi="Times New Roman" w:cs="Times New Roman"/>
          <w:b/>
          <w:i/>
          <w:sz w:val="24"/>
          <w:szCs w:val="24"/>
        </w:rPr>
      </w:pPr>
    </w:p>
    <w:p w14:paraId="00000020" w14:textId="77777777" w:rsidR="001A7E40" w:rsidRDefault="00940D1C">
      <w:pPr>
        <w:widowControl w:val="0"/>
        <w:spacing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Guilford-Zimmerman Temperament Survey</w:t>
      </w:r>
    </w:p>
    <w:p w14:paraId="00000021" w14:textId="77777777" w:rsidR="001A7E40" w:rsidRDefault="00940D1C">
      <w:pPr>
        <w:widowControl w:val="0"/>
        <w:spacing w:line="240" w:lineRule="auto"/>
        <w:ind w:left="708" w:hanging="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Guilford, J. P. (1990). </w:t>
      </w:r>
      <w:r>
        <w:rPr>
          <w:rFonts w:ascii="Times New Roman" w:eastAsia="Times New Roman" w:hAnsi="Times New Roman" w:cs="Times New Roman"/>
          <w:i/>
          <w:sz w:val="24"/>
          <w:szCs w:val="24"/>
        </w:rPr>
        <w:t>Guilford-Zimmerman Temperament Survey.</w:t>
      </w:r>
      <w:r>
        <w:rPr>
          <w:rFonts w:ascii="Times New Roman" w:eastAsia="Times New Roman" w:hAnsi="Times New Roman" w:cs="Times New Roman"/>
          <w:sz w:val="24"/>
          <w:szCs w:val="24"/>
        </w:rPr>
        <w:t xml:space="preserve"> Gender roles: a handbook of tests and measures, 41(4), 131.</w:t>
      </w:r>
    </w:p>
    <w:p w14:paraId="00000022" w14:textId="77777777" w:rsidR="001A7E40" w:rsidRDefault="001A7E40">
      <w:pPr>
        <w:widowControl w:val="0"/>
        <w:spacing w:line="240" w:lineRule="auto"/>
        <w:rPr>
          <w:rFonts w:ascii="Times New Roman" w:eastAsia="Times New Roman" w:hAnsi="Times New Roman" w:cs="Times New Roman"/>
          <w:sz w:val="24"/>
          <w:szCs w:val="24"/>
        </w:rPr>
      </w:pPr>
    </w:p>
    <w:p w14:paraId="00000023" w14:textId="77777777" w:rsidR="001A7E40" w:rsidRDefault="00940D1C">
      <w:pPr>
        <w:widowControl w:val="0"/>
        <w:spacing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HEXACO</w:t>
      </w:r>
    </w:p>
    <w:p w14:paraId="00000024" w14:textId="77777777" w:rsidR="001A7E40" w:rsidRDefault="00940D1C">
      <w:pPr>
        <w:widowControl w:val="0"/>
        <w:spacing w:line="240" w:lineRule="auto"/>
        <w:ind w:left="72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Ashton, M. C., &amp; Lee, K. (2009). The HEXACO-60: A short measure of the major dimensions of personality. </w:t>
      </w:r>
      <w:r>
        <w:rPr>
          <w:rFonts w:ascii="Times New Roman" w:eastAsia="Times New Roman" w:hAnsi="Times New Roman" w:cs="Times New Roman"/>
          <w:i/>
          <w:sz w:val="24"/>
          <w:szCs w:val="24"/>
        </w:rPr>
        <w:t>Journal of Personality Assessment</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91</w:t>
      </w:r>
      <w:r>
        <w:rPr>
          <w:rFonts w:ascii="Times New Roman" w:eastAsia="Times New Roman" w:hAnsi="Times New Roman" w:cs="Times New Roman"/>
          <w:sz w:val="24"/>
          <w:szCs w:val="24"/>
        </w:rPr>
        <w:t>, 340-345.</w:t>
      </w:r>
    </w:p>
    <w:p w14:paraId="00000025" w14:textId="77777777" w:rsidR="001A7E40" w:rsidRDefault="00940D1C">
      <w:pPr>
        <w:widowControl w:val="0"/>
        <w:spacing w:line="240" w:lineRule="auto"/>
        <w:ind w:left="72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Ashton, M. C., &amp; Lee, K. (2010). Trait and source factors in HEXACO‐PI‐R self‐and observer reports. </w:t>
      </w:r>
      <w:r>
        <w:rPr>
          <w:rFonts w:ascii="Times New Roman" w:eastAsia="Times New Roman" w:hAnsi="Times New Roman" w:cs="Times New Roman"/>
          <w:i/>
          <w:sz w:val="24"/>
          <w:szCs w:val="24"/>
        </w:rPr>
        <w:t>European Journal of Personality</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24</w:t>
      </w:r>
      <w:r>
        <w:rPr>
          <w:rFonts w:ascii="Times New Roman" w:eastAsia="Times New Roman" w:hAnsi="Times New Roman" w:cs="Times New Roman"/>
          <w:sz w:val="24"/>
          <w:szCs w:val="24"/>
        </w:rPr>
        <w:t>(</w:t>
      </w:r>
      <w:r>
        <w:rPr>
          <w:rFonts w:ascii="Times New Roman" w:eastAsia="Times New Roman" w:hAnsi="Times New Roman" w:cs="Times New Roman"/>
          <w:i/>
          <w:sz w:val="24"/>
          <w:szCs w:val="24"/>
        </w:rPr>
        <w:t>3</w:t>
      </w:r>
      <w:r>
        <w:rPr>
          <w:rFonts w:ascii="Times New Roman" w:eastAsia="Times New Roman" w:hAnsi="Times New Roman" w:cs="Times New Roman"/>
          <w:sz w:val="24"/>
          <w:szCs w:val="24"/>
        </w:rPr>
        <w:t>), 278-289.</w:t>
      </w:r>
    </w:p>
    <w:p w14:paraId="00000026" w14:textId="77777777" w:rsidR="001A7E40" w:rsidRDefault="00940D1C">
      <w:pPr>
        <w:widowControl w:val="0"/>
        <w:spacing w:line="240" w:lineRule="auto"/>
        <w:ind w:left="72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 Vries, R. E. (2013). The 24-item brief HEXACO inventory (BHI). </w:t>
      </w:r>
      <w:r>
        <w:rPr>
          <w:rFonts w:ascii="Times New Roman" w:eastAsia="Times New Roman" w:hAnsi="Times New Roman" w:cs="Times New Roman"/>
          <w:i/>
          <w:sz w:val="24"/>
          <w:szCs w:val="24"/>
        </w:rPr>
        <w:t>Journal of Research in Personality</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47</w:t>
      </w:r>
      <w:r>
        <w:rPr>
          <w:rFonts w:ascii="Times New Roman" w:eastAsia="Times New Roman" w:hAnsi="Times New Roman" w:cs="Times New Roman"/>
          <w:sz w:val="24"/>
          <w:szCs w:val="24"/>
        </w:rPr>
        <w:t>(</w:t>
      </w:r>
      <w:r>
        <w:rPr>
          <w:rFonts w:ascii="Times New Roman" w:eastAsia="Times New Roman" w:hAnsi="Times New Roman" w:cs="Times New Roman"/>
          <w:i/>
          <w:sz w:val="24"/>
          <w:szCs w:val="24"/>
        </w:rPr>
        <w:t>6</w:t>
      </w:r>
      <w:r>
        <w:rPr>
          <w:rFonts w:ascii="Times New Roman" w:eastAsia="Times New Roman" w:hAnsi="Times New Roman" w:cs="Times New Roman"/>
          <w:sz w:val="24"/>
          <w:szCs w:val="24"/>
        </w:rPr>
        <w:t>), 871-880.</w:t>
      </w:r>
    </w:p>
    <w:p w14:paraId="00000027" w14:textId="77777777" w:rsidR="001A7E40" w:rsidRDefault="00940D1C">
      <w:pPr>
        <w:widowControl w:val="0"/>
        <w:spacing w:line="240" w:lineRule="auto"/>
        <w:ind w:left="72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Lee, K., &amp; Ashton, M. C. (2004). Psychometric properties of the HEXACO personality inventory. </w:t>
      </w:r>
      <w:r>
        <w:rPr>
          <w:rFonts w:ascii="Times New Roman" w:eastAsia="Times New Roman" w:hAnsi="Times New Roman" w:cs="Times New Roman"/>
          <w:i/>
          <w:sz w:val="24"/>
          <w:szCs w:val="24"/>
        </w:rPr>
        <w:t>Multivariate Behavioral Research</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39</w:t>
      </w:r>
      <w:r>
        <w:rPr>
          <w:rFonts w:ascii="Times New Roman" w:eastAsia="Times New Roman" w:hAnsi="Times New Roman" w:cs="Times New Roman"/>
          <w:sz w:val="24"/>
          <w:szCs w:val="24"/>
        </w:rPr>
        <w:t>(</w:t>
      </w:r>
      <w:r>
        <w:rPr>
          <w:rFonts w:ascii="Times New Roman" w:eastAsia="Times New Roman" w:hAnsi="Times New Roman" w:cs="Times New Roman"/>
          <w:i/>
          <w:sz w:val="24"/>
          <w:szCs w:val="24"/>
        </w:rPr>
        <w:t>2</w:t>
      </w:r>
      <w:r>
        <w:rPr>
          <w:rFonts w:ascii="Times New Roman" w:eastAsia="Times New Roman" w:hAnsi="Times New Roman" w:cs="Times New Roman"/>
          <w:sz w:val="24"/>
          <w:szCs w:val="24"/>
        </w:rPr>
        <w:t>), 329-358.</w:t>
      </w:r>
    </w:p>
    <w:p w14:paraId="00000028" w14:textId="77777777" w:rsidR="001A7E40" w:rsidRDefault="00940D1C">
      <w:pPr>
        <w:widowControl w:val="0"/>
        <w:spacing w:line="240" w:lineRule="auto"/>
        <w:ind w:left="72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Lee, K., &amp; Ashton, M. C. (2006). Further assessment of the HEXACO Personality Inventory: two new facet scales and an observer report form. </w:t>
      </w:r>
      <w:r>
        <w:rPr>
          <w:rFonts w:ascii="Times New Roman" w:eastAsia="Times New Roman" w:hAnsi="Times New Roman" w:cs="Times New Roman"/>
          <w:i/>
          <w:sz w:val="24"/>
          <w:szCs w:val="24"/>
        </w:rPr>
        <w:t>Psychological Assessment</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18</w:t>
      </w:r>
      <w:r>
        <w:rPr>
          <w:rFonts w:ascii="Times New Roman" w:eastAsia="Times New Roman" w:hAnsi="Times New Roman" w:cs="Times New Roman"/>
          <w:sz w:val="24"/>
          <w:szCs w:val="24"/>
        </w:rPr>
        <w:t>(</w:t>
      </w:r>
      <w:r>
        <w:rPr>
          <w:rFonts w:ascii="Times New Roman" w:eastAsia="Times New Roman" w:hAnsi="Times New Roman" w:cs="Times New Roman"/>
          <w:i/>
          <w:sz w:val="24"/>
          <w:szCs w:val="24"/>
        </w:rPr>
        <w:t>2</w:t>
      </w:r>
      <w:r>
        <w:rPr>
          <w:rFonts w:ascii="Times New Roman" w:eastAsia="Times New Roman" w:hAnsi="Times New Roman" w:cs="Times New Roman"/>
          <w:sz w:val="24"/>
          <w:szCs w:val="24"/>
        </w:rPr>
        <w:t>), 182.</w:t>
      </w:r>
    </w:p>
    <w:p w14:paraId="00000029" w14:textId="77777777" w:rsidR="001A7E40" w:rsidRDefault="00940D1C">
      <w:pPr>
        <w:widowControl w:val="0"/>
        <w:spacing w:line="240" w:lineRule="auto"/>
        <w:ind w:left="72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Lee, K., &amp; Ashton, M. C. (2018). Psychometric properties of the HEXACO-100. </w:t>
      </w:r>
      <w:r>
        <w:rPr>
          <w:rFonts w:ascii="Times New Roman" w:eastAsia="Times New Roman" w:hAnsi="Times New Roman" w:cs="Times New Roman"/>
          <w:i/>
          <w:sz w:val="24"/>
          <w:szCs w:val="24"/>
        </w:rPr>
        <w:t>Assessment</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25</w:t>
      </w:r>
      <w:r>
        <w:rPr>
          <w:rFonts w:ascii="Times New Roman" w:eastAsia="Times New Roman" w:hAnsi="Times New Roman" w:cs="Times New Roman"/>
          <w:sz w:val="24"/>
          <w:szCs w:val="24"/>
        </w:rPr>
        <w:t>(</w:t>
      </w:r>
      <w:r>
        <w:rPr>
          <w:rFonts w:ascii="Times New Roman" w:eastAsia="Times New Roman" w:hAnsi="Times New Roman" w:cs="Times New Roman"/>
          <w:i/>
          <w:sz w:val="24"/>
          <w:szCs w:val="24"/>
        </w:rPr>
        <w:t>5</w:t>
      </w:r>
      <w:r>
        <w:rPr>
          <w:rFonts w:ascii="Times New Roman" w:eastAsia="Times New Roman" w:hAnsi="Times New Roman" w:cs="Times New Roman"/>
          <w:sz w:val="24"/>
          <w:szCs w:val="24"/>
        </w:rPr>
        <w:t>), 543-556.</w:t>
      </w:r>
    </w:p>
    <w:p w14:paraId="0000002A" w14:textId="77777777" w:rsidR="001A7E40" w:rsidRDefault="001A7E40">
      <w:pPr>
        <w:widowControl w:val="0"/>
        <w:spacing w:line="240" w:lineRule="auto"/>
        <w:rPr>
          <w:rFonts w:ascii="Times New Roman" w:eastAsia="Times New Roman" w:hAnsi="Times New Roman" w:cs="Times New Roman"/>
          <w:sz w:val="24"/>
          <w:szCs w:val="24"/>
        </w:rPr>
      </w:pPr>
    </w:p>
    <w:p w14:paraId="0000002B" w14:textId="77777777" w:rsidR="001A7E40" w:rsidRDefault="00940D1C">
      <w:pPr>
        <w:widowControl w:val="0"/>
        <w:spacing w:line="240" w:lineRule="auto"/>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Hogan Personality Inventory</w:t>
      </w:r>
      <w:r>
        <w:rPr>
          <w:rFonts w:ascii="Times New Roman" w:eastAsia="Times New Roman" w:hAnsi="Times New Roman" w:cs="Times New Roman"/>
          <w:i/>
          <w:sz w:val="24"/>
          <w:szCs w:val="24"/>
        </w:rPr>
        <w:t xml:space="preserve"> </w:t>
      </w:r>
    </w:p>
    <w:p w14:paraId="0000002C" w14:textId="77777777" w:rsidR="001A7E40" w:rsidRDefault="00940D1C">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Hogan, R. (1995). </w:t>
      </w:r>
      <w:r>
        <w:rPr>
          <w:rFonts w:ascii="Times New Roman" w:eastAsia="Times New Roman" w:hAnsi="Times New Roman" w:cs="Times New Roman"/>
          <w:i/>
          <w:sz w:val="24"/>
          <w:szCs w:val="24"/>
        </w:rPr>
        <w:t>Hogan personality inventory.</w:t>
      </w:r>
      <w:r>
        <w:rPr>
          <w:rFonts w:ascii="Times New Roman" w:eastAsia="Times New Roman" w:hAnsi="Times New Roman" w:cs="Times New Roman"/>
          <w:sz w:val="24"/>
          <w:szCs w:val="24"/>
        </w:rPr>
        <w:t xml:space="preserve"> Hogan Assessment Systems.</w:t>
      </w:r>
    </w:p>
    <w:p w14:paraId="0000002D" w14:textId="77777777" w:rsidR="001A7E40" w:rsidRDefault="001A7E40">
      <w:pPr>
        <w:widowControl w:val="0"/>
        <w:spacing w:line="240" w:lineRule="auto"/>
        <w:rPr>
          <w:rFonts w:ascii="Times New Roman" w:eastAsia="Times New Roman" w:hAnsi="Times New Roman" w:cs="Times New Roman"/>
          <w:b/>
          <w:i/>
          <w:sz w:val="24"/>
          <w:szCs w:val="24"/>
        </w:rPr>
      </w:pPr>
    </w:p>
    <w:p w14:paraId="0000002E" w14:textId="77777777" w:rsidR="001A7E40" w:rsidRDefault="00940D1C">
      <w:pPr>
        <w:widowControl w:val="0"/>
        <w:spacing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IPIP</w:t>
      </w:r>
    </w:p>
    <w:p w14:paraId="0000002F" w14:textId="77777777" w:rsidR="001A7E40" w:rsidRDefault="00940D1C">
      <w:pPr>
        <w:widowControl w:val="0"/>
        <w:spacing w:line="240" w:lineRule="auto"/>
        <w:ind w:left="709" w:hanging="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Goldberg, L. R. (1999). </w:t>
      </w:r>
      <w:r>
        <w:rPr>
          <w:rFonts w:ascii="Times New Roman" w:eastAsia="Times New Roman" w:hAnsi="Times New Roman" w:cs="Times New Roman"/>
          <w:i/>
          <w:sz w:val="24"/>
          <w:szCs w:val="24"/>
        </w:rPr>
        <w:t>A broad-bandwidth, public domain, personality inventory measuring the lower-level facets of several five-factor models</w:t>
      </w:r>
      <w:r>
        <w:rPr>
          <w:rFonts w:ascii="Times New Roman" w:eastAsia="Times New Roman" w:hAnsi="Times New Roman" w:cs="Times New Roman"/>
          <w:sz w:val="24"/>
          <w:szCs w:val="24"/>
        </w:rPr>
        <w:t xml:space="preserve">. In I. </w:t>
      </w:r>
      <w:proofErr w:type="spellStart"/>
      <w:r>
        <w:rPr>
          <w:rFonts w:ascii="Times New Roman" w:eastAsia="Times New Roman" w:hAnsi="Times New Roman" w:cs="Times New Roman"/>
          <w:sz w:val="24"/>
          <w:szCs w:val="24"/>
        </w:rPr>
        <w:t>Mervielde</w:t>
      </w:r>
      <w:proofErr w:type="spellEnd"/>
      <w:r>
        <w:rPr>
          <w:rFonts w:ascii="Times New Roman" w:eastAsia="Times New Roman" w:hAnsi="Times New Roman" w:cs="Times New Roman"/>
          <w:sz w:val="24"/>
          <w:szCs w:val="24"/>
        </w:rPr>
        <w:t xml:space="preserve">, I. Deary, F. De </w:t>
      </w:r>
      <w:proofErr w:type="spellStart"/>
      <w:r>
        <w:rPr>
          <w:rFonts w:ascii="Times New Roman" w:eastAsia="Times New Roman" w:hAnsi="Times New Roman" w:cs="Times New Roman"/>
          <w:sz w:val="24"/>
          <w:szCs w:val="24"/>
        </w:rPr>
        <w:t>Fruyt</w:t>
      </w:r>
      <w:proofErr w:type="spellEnd"/>
      <w:r>
        <w:rPr>
          <w:rFonts w:ascii="Times New Roman" w:eastAsia="Times New Roman" w:hAnsi="Times New Roman" w:cs="Times New Roman"/>
          <w:sz w:val="24"/>
          <w:szCs w:val="24"/>
        </w:rPr>
        <w:t>, &amp; F. Ostendorf (Eds.), Personality Psychology in Europe, Vol. 7 (pp. 7-28). Tilburg, The Netherlands: Tilburg University Press.</w:t>
      </w:r>
    </w:p>
    <w:p w14:paraId="00000030" w14:textId="77777777" w:rsidR="001A7E40" w:rsidRDefault="00940D1C">
      <w:pPr>
        <w:widowControl w:val="0"/>
        <w:spacing w:line="240" w:lineRule="auto"/>
        <w:ind w:left="709" w:hanging="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Goldberg, L. R., Johnson, J. A., Eber, H. W., Hogan, R., Ashton, M. C., Cloninger, C. R., &amp; Gough, H. C. (2006). The International Personality Item Pool and the future of public-domain personality measures. </w:t>
      </w:r>
      <w:r>
        <w:rPr>
          <w:rFonts w:ascii="Times New Roman" w:eastAsia="Times New Roman" w:hAnsi="Times New Roman" w:cs="Times New Roman"/>
          <w:i/>
          <w:sz w:val="24"/>
          <w:szCs w:val="24"/>
        </w:rPr>
        <w:t>Journal of Research in Personality</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40</w:t>
      </w:r>
      <w:r>
        <w:rPr>
          <w:rFonts w:ascii="Times New Roman" w:eastAsia="Times New Roman" w:hAnsi="Times New Roman" w:cs="Times New Roman"/>
          <w:sz w:val="24"/>
          <w:szCs w:val="24"/>
        </w:rPr>
        <w:t>, 84-96.</w:t>
      </w:r>
    </w:p>
    <w:p w14:paraId="00000031" w14:textId="77777777" w:rsidR="001A7E40" w:rsidRDefault="00940D1C">
      <w:pPr>
        <w:widowControl w:val="0"/>
        <w:spacing w:line="240" w:lineRule="auto"/>
        <w:ind w:left="709" w:hanging="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Goldberg, L. R. (1992). The development of markers for the Big-Five factor structure. </w:t>
      </w:r>
      <w:r>
        <w:rPr>
          <w:rFonts w:ascii="Times New Roman" w:eastAsia="Times New Roman" w:hAnsi="Times New Roman" w:cs="Times New Roman"/>
          <w:i/>
          <w:sz w:val="24"/>
          <w:szCs w:val="24"/>
        </w:rPr>
        <w:t>Psychological Assessment</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4</w:t>
      </w:r>
      <w:r>
        <w:rPr>
          <w:rFonts w:ascii="Times New Roman" w:eastAsia="Times New Roman" w:hAnsi="Times New Roman" w:cs="Times New Roman"/>
          <w:sz w:val="24"/>
          <w:szCs w:val="24"/>
        </w:rPr>
        <w:t>, 26-42.</w:t>
      </w:r>
    </w:p>
    <w:p w14:paraId="00000032" w14:textId="77777777" w:rsidR="001A7E40" w:rsidRDefault="00940D1C">
      <w:pPr>
        <w:widowControl w:val="0"/>
        <w:spacing w:line="240" w:lineRule="auto"/>
        <w:ind w:left="709" w:hanging="708"/>
        <w:rPr>
          <w:rFonts w:ascii="Times New Roman" w:eastAsia="Times New Roman" w:hAnsi="Times New Roman" w:cs="Times New Roman"/>
          <w:sz w:val="24"/>
          <w:szCs w:val="24"/>
        </w:rPr>
      </w:pPr>
      <w:r>
        <w:rPr>
          <w:rFonts w:ascii="Times New Roman" w:eastAsia="Times New Roman" w:hAnsi="Times New Roman" w:cs="Times New Roman"/>
          <w:sz w:val="24"/>
          <w:szCs w:val="24"/>
        </w:rPr>
        <w:t>Johnson, J. A. (2014). Measuring thirty facets of the Five Factor Model with a 120-item public domain inventory: Development of the IPIP-NEO-120.</w:t>
      </w:r>
      <w:r>
        <w:rPr>
          <w:rFonts w:ascii="Times New Roman" w:eastAsia="Times New Roman" w:hAnsi="Times New Roman" w:cs="Times New Roman"/>
          <w:i/>
          <w:sz w:val="24"/>
          <w:szCs w:val="24"/>
        </w:rPr>
        <w:t xml:space="preserve"> Journal of Research in Personality</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51</w:t>
      </w:r>
      <w:r>
        <w:rPr>
          <w:rFonts w:ascii="Times New Roman" w:eastAsia="Times New Roman" w:hAnsi="Times New Roman" w:cs="Times New Roman"/>
          <w:sz w:val="24"/>
          <w:szCs w:val="24"/>
        </w:rPr>
        <w:t>, 78-89.</w:t>
      </w:r>
    </w:p>
    <w:p w14:paraId="00000033" w14:textId="77777777" w:rsidR="001A7E40" w:rsidRDefault="001A7E40">
      <w:pPr>
        <w:widowControl w:val="0"/>
        <w:spacing w:line="240" w:lineRule="auto"/>
        <w:ind w:left="708"/>
        <w:rPr>
          <w:rFonts w:ascii="Times New Roman" w:eastAsia="Times New Roman" w:hAnsi="Times New Roman" w:cs="Times New Roman"/>
          <w:sz w:val="24"/>
          <w:szCs w:val="24"/>
        </w:rPr>
      </w:pPr>
    </w:p>
    <w:p w14:paraId="00000034" w14:textId="77777777" w:rsidR="001A7E40" w:rsidRDefault="00940D1C">
      <w:pPr>
        <w:widowControl w:val="0"/>
        <w:spacing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Jenkins Activity Survey</w:t>
      </w:r>
    </w:p>
    <w:p w14:paraId="00000035" w14:textId="77777777" w:rsidR="001A7E40" w:rsidRDefault="00940D1C">
      <w:pPr>
        <w:widowControl w:val="0"/>
        <w:spacing w:line="240" w:lineRule="auto"/>
        <w:ind w:left="708" w:hanging="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Jenkins, C. D., Rosenman, R. H., &amp; </w:t>
      </w:r>
      <w:proofErr w:type="spellStart"/>
      <w:r>
        <w:rPr>
          <w:rFonts w:ascii="Times New Roman" w:eastAsia="Times New Roman" w:hAnsi="Times New Roman" w:cs="Times New Roman"/>
          <w:sz w:val="24"/>
          <w:szCs w:val="24"/>
        </w:rPr>
        <w:t>Zyzanski</w:t>
      </w:r>
      <w:proofErr w:type="spellEnd"/>
      <w:r>
        <w:rPr>
          <w:rFonts w:ascii="Times New Roman" w:eastAsia="Times New Roman" w:hAnsi="Times New Roman" w:cs="Times New Roman"/>
          <w:sz w:val="24"/>
          <w:szCs w:val="24"/>
        </w:rPr>
        <w:t xml:space="preserve">, S. J. (1979). </w:t>
      </w:r>
      <w:r>
        <w:rPr>
          <w:rFonts w:ascii="Times New Roman" w:eastAsia="Times New Roman" w:hAnsi="Times New Roman" w:cs="Times New Roman"/>
          <w:i/>
          <w:sz w:val="24"/>
          <w:szCs w:val="24"/>
        </w:rPr>
        <w:t>Jenkins Activity Survey (Form C).</w:t>
      </w:r>
      <w:r>
        <w:rPr>
          <w:rFonts w:ascii="Times New Roman" w:eastAsia="Times New Roman" w:hAnsi="Times New Roman" w:cs="Times New Roman"/>
          <w:sz w:val="24"/>
          <w:szCs w:val="24"/>
        </w:rPr>
        <w:t xml:space="preserve"> Psychological Corporation.</w:t>
      </w:r>
    </w:p>
    <w:p w14:paraId="00000036" w14:textId="77777777" w:rsidR="001A7E40" w:rsidRDefault="001A7E40">
      <w:pPr>
        <w:widowControl w:val="0"/>
        <w:spacing w:line="240" w:lineRule="auto"/>
        <w:rPr>
          <w:rFonts w:ascii="Times New Roman" w:eastAsia="Times New Roman" w:hAnsi="Times New Roman" w:cs="Times New Roman"/>
          <w:sz w:val="24"/>
          <w:szCs w:val="24"/>
        </w:rPr>
      </w:pPr>
    </w:p>
    <w:p w14:paraId="00000037" w14:textId="77777777" w:rsidR="001A7E40" w:rsidRDefault="00940D1C">
      <w:pPr>
        <w:widowControl w:val="0"/>
        <w:spacing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Myers-Briggs Type Indicator</w:t>
      </w:r>
    </w:p>
    <w:p w14:paraId="00000038" w14:textId="77777777" w:rsidR="001A7E40" w:rsidRDefault="00940D1C">
      <w:pPr>
        <w:widowControl w:val="0"/>
        <w:spacing w:line="240" w:lineRule="auto"/>
        <w:ind w:left="72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Myers, I. B., McCaulley, M. H., &amp; Most, R. (1985). </w:t>
      </w:r>
      <w:r>
        <w:rPr>
          <w:rFonts w:ascii="Times New Roman" w:eastAsia="Times New Roman" w:hAnsi="Times New Roman" w:cs="Times New Roman"/>
          <w:i/>
          <w:sz w:val="24"/>
          <w:szCs w:val="24"/>
        </w:rPr>
        <w:t>Manual: A guide to the development and use of the Myers-Briggs Type Indicator (Vol. 1985).</w:t>
      </w:r>
      <w:r>
        <w:rPr>
          <w:rFonts w:ascii="Times New Roman" w:eastAsia="Times New Roman" w:hAnsi="Times New Roman" w:cs="Times New Roman"/>
          <w:sz w:val="24"/>
          <w:szCs w:val="24"/>
        </w:rPr>
        <w:t xml:space="preserve"> Palo Alto, CA: Consulting Psychologists Press.</w:t>
      </w:r>
    </w:p>
    <w:p w14:paraId="00000039" w14:textId="77777777" w:rsidR="001A7E40" w:rsidRDefault="00940D1C">
      <w:pPr>
        <w:widowControl w:val="0"/>
        <w:spacing w:line="240" w:lineRule="auto"/>
        <w:ind w:left="72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Myers, I. B., McCaulley, M. H., </w:t>
      </w:r>
      <w:proofErr w:type="spellStart"/>
      <w:r>
        <w:rPr>
          <w:rFonts w:ascii="Times New Roman" w:eastAsia="Times New Roman" w:hAnsi="Times New Roman" w:cs="Times New Roman"/>
          <w:sz w:val="24"/>
          <w:szCs w:val="24"/>
        </w:rPr>
        <w:t>Quenk</w:t>
      </w:r>
      <w:proofErr w:type="spellEnd"/>
      <w:r>
        <w:rPr>
          <w:rFonts w:ascii="Times New Roman" w:eastAsia="Times New Roman" w:hAnsi="Times New Roman" w:cs="Times New Roman"/>
          <w:sz w:val="24"/>
          <w:szCs w:val="24"/>
        </w:rPr>
        <w:t xml:space="preserve">, N. L., &amp; Hammer, A. L. (1998). </w:t>
      </w:r>
      <w:r>
        <w:rPr>
          <w:rFonts w:ascii="Times New Roman" w:eastAsia="Times New Roman" w:hAnsi="Times New Roman" w:cs="Times New Roman"/>
          <w:i/>
          <w:sz w:val="24"/>
          <w:szCs w:val="24"/>
        </w:rPr>
        <w:t>MBTI manual: A guide to the development and use of the Myers-Briggs Type Indicator (Vol. 3)</w:t>
      </w:r>
      <w:r>
        <w:rPr>
          <w:rFonts w:ascii="Times New Roman" w:eastAsia="Times New Roman" w:hAnsi="Times New Roman" w:cs="Times New Roman"/>
          <w:sz w:val="24"/>
          <w:szCs w:val="24"/>
        </w:rPr>
        <w:t>. Palo Alto, CA: Consulting Psychologists Press.</w:t>
      </w:r>
    </w:p>
    <w:p w14:paraId="0000003A" w14:textId="77777777" w:rsidR="001A7E40" w:rsidRDefault="001A7E40">
      <w:pPr>
        <w:widowControl w:val="0"/>
        <w:spacing w:line="240" w:lineRule="auto"/>
        <w:ind w:left="720" w:hanging="720"/>
        <w:rPr>
          <w:rFonts w:ascii="Times New Roman" w:eastAsia="Times New Roman" w:hAnsi="Times New Roman" w:cs="Times New Roman"/>
          <w:sz w:val="24"/>
          <w:szCs w:val="24"/>
        </w:rPr>
      </w:pPr>
    </w:p>
    <w:p w14:paraId="0000003B" w14:textId="77777777" w:rsidR="001A7E40" w:rsidRDefault="00940D1C">
      <w:pPr>
        <w:widowControl w:val="0"/>
        <w:spacing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Minnesota Multiphasic Personality Inventory</w:t>
      </w:r>
    </w:p>
    <w:p w14:paraId="0000003C" w14:textId="77777777" w:rsidR="001A7E40" w:rsidRDefault="00940D1C">
      <w:pPr>
        <w:widowControl w:val="0"/>
        <w:spacing w:line="240" w:lineRule="auto"/>
        <w:ind w:left="72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Butcher, J. N., Graham, J. R., Ben-Porath, Y. S., </w:t>
      </w:r>
      <w:proofErr w:type="spellStart"/>
      <w:r>
        <w:rPr>
          <w:rFonts w:ascii="Times New Roman" w:eastAsia="Times New Roman" w:hAnsi="Times New Roman" w:cs="Times New Roman"/>
          <w:sz w:val="24"/>
          <w:szCs w:val="24"/>
        </w:rPr>
        <w:t>Tellegen</w:t>
      </w:r>
      <w:proofErr w:type="spellEnd"/>
      <w:r>
        <w:rPr>
          <w:rFonts w:ascii="Times New Roman" w:eastAsia="Times New Roman" w:hAnsi="Times New Roman" w:cs="Times New Roman"/>
          <w:sz w:val="24"/>
          <w:szCs w:val="24"/>
        </w:rPr>
        <w:t xml:space="preserve">, A., &amp; Dahlstrom, W. G. (2003). </w:t>
      </w:r>
      <w:r>
        <w:rPr>
          <w:rFonts w:ascii="Times New Roman" w:eastAsia="Times New Roman" w:hAnsi="Times New Roman" w:cs="Times New Roman"/>
          <w:i/>
          <w:sz w:val="24"/>
          <w:szCs w:val="24"/>
        </w:rPr>
        <w:t>MMPI-2: Minnesota Multiphasic Personality Inventory-2.</w:t>
      </w:r>
      <w:r>
        <w:rPr>
          <w:rFonts w:ascii="Times New Roman" w:eastAsia="Times New Roman" w:hAnsi="Times New Roman" w:cs="Times New Roman"/>
          <w:sz w:val="24"/>
          <w:szCs w:val="24"/>
        </w:rPr>
        <w:t xml:space="preserve"> University of Minnesota Press.</w:t>
      </w:r>
    </w:p>
    <w:p w14:paraId="0000003D" w14:textId="77777777" w:rsidR="001A7E40" w:rsidRDefault="001A7E40">
      <w:pPr>
        <w:widowControl w:val="0"/>
        <w:spacing w:line="240" w:lineRule="auto"/>
        <w:ind w:left="720" w:hanging="720"/>
        <w:rPr>
          <w:rFonts w:ascii="Times New Roman" w:eastAsia="Times New Roman" w:hAnsi="Times New Roman" w:cs="Times New Roman"/>
          <w:sz w:val="24"/>
          <w:szCs w:val="24"/>
        </w:rPr>
      </w:pPr>
    </w:p>
    <w:p w14:paraId="0000003E" w14:textId="77777777" w:rsidR="001A7E40" w:rsidRDefault="00940D1C">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b/>
          <w:i/>
          <w:sz w:val="24"/>
          <w:szCs w:val="24"/>
        </w:rPr>
        <w:t>NEO</w:t>
      </w:r>
    </w:p>
    <w:p w14:paraId="0000003F" w14:textId="77777777" w:rsidR="001A7E40" w:rsidRDefault="00940D1C">
      <w:pPr>
        <w:widowControl w:val="0"/>
        <w:spacing w:line="240" w:lineRule="auto"/>
        <w:ind w:left="72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Costa, P. T., Jr., &amp; McCrae, R. R. (1992). </w:t>
      </w:r>
      <w:r>
        <w:rPr>
          <w:rFonts w:ascii="Times New Roman" w:eastAsia="Times New Roman" w:hAnsi="Times New Roman" w:cs="Times New Roman"/>
          <w:i/>
          <w:sz w:val="24"/>
          <w:szCs w:val="24"/>
        </w:rPr>
        <w:t>Revised NEO Personality Inventory (NEO-PI-R) and NEO Five-Factor Inventory (NEO-FFI) professional manual</w:t>
      </w:r>
      <w:r>
        <w:rPr>
          <w:rFonts w:ascii="Times New Roman" w:eastAsia="Times New Roman" w:hAnsi="Times New Roman" w:cs="Times New Roman"/>
          <w:sz w:val="24"/>
          <w:szCs w:val="24"/>
        </w:rPr>
        <w:t xml:space="preserve">. Odessa, FL: Psychological Assessment Resources. </w:t>
      </w:r>
    </w:p>
    <w:p w14:paraId="00000040" w14:textId="77777777" w:rsidR="001A7E40" w:rsidRDefault="00940D1C">
      <w:pPr>
        <w:widowControl w:val="0"/>
        <w:spacing w:line="240" w:lineRule="auto"/>
        <w:ind w:left="72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Costa, P. T., &amp; McCrae, R. R. (1992). Normal personality assessment in clinical practice: The NEO Personality Inventory. </w:t>
      </w:r>
      <w:r>
        <w:rPr>
          <w:rFonts w:ascii="Times New Roman" w:eastAsia="Times New Roman" w:hAnsi="Times New Roman" w:cs="Times New Roman"/>
          <w:i/>
          <w:sz w:val="24"/>
          <w:szCs w:val="24"/>
        </w:rPr>
        <w:t>Psychological Assessment</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4</w:t>
      </w:r>
      <w:r>
        <w:rPr>
          <w:rFonts w:ascii="Times New Roman" w:eastAsia="Times New Roman" w:hAnsi="Times New Roman" w:cs="Times New Roman"/>
          <w:sz w:val="24"/>
          <w:szCs w:val="24"/>
        </w:rPr>
        <w:t>(1), 5.</w:t>
      </w:r>
    </w:p>
    <w:p w14:paraId="00000041" w14:textId="77777777" w:rsidR="001A7E40" w:rsidRDefault="00940D1C">
      <w:pPr>
        <w:widowControl w:val="0"/>
        <w:spacing w:line="240" w:lineRule="auto"/>
        <w:ind w:left="72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Costa, P. T., &amp; McCrea, R. R. (1992). </w:t>
      </w:r>
      <w:r>
        <w:rPr>
          <w:rFonts w:ascii="Times New Roman" w:eastAsia="Times New Roman" w:hAnsi="Times New Roman" w:cs="Times New Roman"/>
          <w:i/>
          <w:sz w:val="24"/>
          <w:szCs w:val="24"/>
        </w:rPr>
        <w:t>Revised neo personality inventory (NEO PI-R) and neo five-factor inventory (NEO-FFI).</w:t>
      </w:r>
      <w:r>
        <w:rPr>
          <w:rFonts w:ascii="Times New Roman" w:eastAsia="Times New Roman" w:hAnsi="Times New Roman" w:cs="Times New Roman"/>
          <w:sz w:val="24"/>
          <w:szCs w:val="24"/>
        </w:rPr>
        <w:t xml:space="preserve"> Psychological Assessment Resources.</w:t>
      </w:r>
    </w:p>
    <w:p w14:paraId="00000042" w14:textId="77777777" w:rsidR="001A7E40" w:rsidRDefault="001A7E40">
      <w:pPr>
        <w:widowControl w:val="0"/>
        <w:spacing w:line="240" w:lineRule="auto"/>
        <w:ind w:left="720" w:hanging="720"/>
        <w:rPr>
          <w:rFonts w:ascii="Times New Roman" w:eastAsia="Times New Roman" w:hAnsi="Times New Roman" w:cs="Times New Roman"/>
          <w:sz w:val="24"/>
          <w:szCs w:val="24"/>
        </w:rPr>
      </w:pPr>
    </w:p>
    <w:p w14:paraId="00000043" w14:textId="77777777" w:rsidR="001A7E40" w:rsidRDefault="00940D1C">
      <w:pPr>
        <w:widowControl w:val="0"/>
        <w:spacing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Personality Research Form</w:t>
      </w:r>
    </w:p>
    <w:p w14:paraId="00000044" w14:textId="77777777" w:rsidR="001A7E40" w:rsidRDefault="00940D1C">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Jackson, D. N. (1974). </w:t>
      </w:r>
      <w:r>
        <w:rPr>
          <w:rFonts w:ascii="Times New Roman" w:eastAsia="Times New Roman" w:hAnsi="Times New Roman" w:cs="Times New Roman"/>
          <w:i/>
          <w:sz w:val="24"/>
          <w:szCs w:val="24"/>
        </w:rPr>
        <w:t>Personality research form manual</w:t>
      </w:r>
      <w:r>
        <w:rPr>
          <w:rFonts w:ascii="Times New Roman" w:eastAsia="Times New Roman" w:hAnsi="Times New Roman" w:cs="Times New Roman"/>
          <w:sz w:val="24"/>
          <w:szCs w:val="24"/>
        </w:rPr>
        <w:t>. Research Psychologists Press.</w:t>
      </w:r>
    </w:p>
    <w:p w14:paraId="00000045" w14:textId="77777777" w:rsidR="001A7E40" w:rsidRDefault="001A7E40">
      <w:pPr>
        <w:widowControl w:val="0"/>
        <w:spacing w:line="240" w:lineRule="auto"/>
        <w:rPr>
          <w:rFonts w:ascii="Times New Roman" w:eastAsia="Times New Roman" w:hAnsi="Times New Roman" w:cs="Times New Roman"/>
          <w:sz w:val="24"/>
          <w:szCs w:val="24"/>
        </w:rPr>
      </w:pPr>
    </w:p>
    <w:p w14:paraId="00000046" w14:textId="77777777" w:rsidR="001A7E40" w:rsidRDefault="00940D1C">
      <w:pPr>
        <w:widowControl w:val="0"/>
        <w:spacing w:line="240" w:lineRule="auto"/>
        <w:rPr>
          <w:rFonts w:ascii="Times New Roman" w:eastAsia="Times New Roman" w:hAnsi="Times New Roman" w:cs="Times New Roman"/>
          <w:b/>
          <w:sz w:val="24"/>
          <w:szCs w:val="24"/>
        </w:rPr>
      </w:pPr>
      <w:r>
        <w:rPr>
          <w:rFonts w:ascii="Times New Roman" w:eastAsia="Times New Roman" w:hAnsi="Times New Roman" w:cs="Times New Roman"/>
          <w:b/>
          <w:i/>
          <w:sz w:val="24"/>
          <w:szCs w:val="24"/>
        </w:rPr>
        <w:t>Positive and Negative Affect Schedule (PANAS)</w:t>
      </w:r>
    </w:p>
    <w:p w14:paraId="00000047" w14:textId="77777777" w:rsidR="001A7E40" w:rsidRDefault="00940D1C">
      <w:pPr>
        <w:widowControl w:val="0"/>
        <w:spacing w:line="240" w:lineRule="auto"/>
        <w:ind w:left="708" w:hanging="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Watson, D., Clark, L. A., &amp; </w:t>
      </w:r>
      <w:proofErr w:type="spellStart"/>
      <w:r>
        <w:rPr>
          <w:rFonts w:ascii="Times New Roman" w:eastAsia="Times New Roman" w:hAnsi="Times New Roman" w:cs="Times New Roman"/>
          <w:sz w:val="24"/>
          <w:szCs w:val="24"/>
        </w:rPr>
        <w:t>Tellegen</w:t>
      </w:r>
      <w:proofErr w:type="spellEnd"/>
      <w:r>
        <w:rPr>
          <w:rFonts w:ascii="Times New Roman" w:eastAsia="Times New Roman" w:hAnsi="Times New Roman" w:cs="Times New Roman"/>
          <w:sz w:val="24"/>
          <w:szCs w:val="24"/>
        </w:rPr>
        <w:t xml:space="preserve">, A. (1988). Development and validation of brief measures of positive and negative affect: the PANAS scales. </w:t>
      </w:r>
      <w:r>
        <w:rPr>
          <w:rFonts w:ascii="Times New Roman" w:eastAsia="Times New Roman" w:hAnsi="Times New Roman" w:cs="Times New Roman"/>
          <w:i/>
          <w:sz w:val="24"/>
          <w:szCs w:val="24"/>
        </w:rPr>
        <w:t>Journal of Personality and Social Psychology</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54</w:t>
      </w:r>
      <w:r>
        <w:rPr>
          <w:rFonts w:ascii="Times New Roman" w:eastAsia="Times New Roman" w:hAnsi="Times New Roman" w:cs="Times New Roman"/>
          <w:sz w:val="24"/>
          <w:szCs w:val="24"/>
        </w:rPr>
        <w:t>(6), 1063.</w:t>
      </w:r>
    </w:p>
    <w:p w14:paraId="00000048" w14:textId="77777777" w:rsidR="001A7E40" w:rsidRDefault="001A7E40">
      <w:pPr>
        <w:widowControl w:val="0"/>
        <w:spacing w:line="240" w:lineRule="auto"/>
        <w:rPr>
          <w:rFonts w:ascii="Times New Roman" w:eastAsia="Times New Roman" w:hAnsi="Times New Roman" w:cs="Times New Roman"/>
          <w:sz w:val="24"/>
          <w:szCs w:val="24"/>
        </w:rPr>
      </w:pPr>
    </w:p>
    <w:p w14:paraId="00000049" w14:textId="77777777" w:rsidR="001A7E40" w:rsidRDefault="00940D1C">
      <w:pPr>
        <w:widowControl w:val="0"/>
        <w:spacing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State-Trait Anxiety Inventory</w:t>
      </w:r>
    </w:p>
    <w:p w14:paraId="0000004A" w14:textId="77777777" w:rsidR="001A7E40" w:rsidRDefault="00940D1C">
      <w:pPr>
        <w:widowControl w:val="0"/>
        <w:spacing w:line="240" w:lineRule="auto"/>
        <w:ind w:left="708" w:hanging="708"/>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Spielberger, C. D., Gorsuch, R. L., &amp; </w:t>
      </w:r>
      <w:proofErr w:type="spellStart"/>
      <w:r>
        <w:rPr>
          <w:rFonts w:ascii="Times New Roman" w:eastAsia="Times New Roman" w:hAnsi="Times New Roman" w:cs="Times New Roman"/>
          <w:sz w:val="24"/>
          <w:szCs w:val="24"/>
        </w:rPr>
        <w:t>Lushene</w:t>
      </w:r>
      <w:proofErr w:type="spellEnd"/>
      <w:r>
        <w:rPr>
          <w:rFonts w:ascii="Times New Roman" w:eastAsia="Times New Roman" w:hAnsi="Times New Roman" w:cs="Times New Roman"/>
          <w:sz w:val="24"/>
          <w:szCs w:val="24"/>
        </w:rPr>
        <w:t xml:space="preserve">, R. E. (1970). </w:t>
      </w:r>
      <w:r>
        <w:rPr>
          <w:rFonts w:ascii="Times New Roman" w:eastAsia="Times New Roman" w:hAnsi="Times New Roman" w:cs="Times New Roman"/>
          <w:i/>
          <w:sz w:val="24"/>
          <w:szCs w:val="24"/>
        </w:rPr>
        <w:t>Manual for the state-trait anxiety inventory.</w:t>
      </w:r>
    </w:p>
    <w:p w14:paraId="0000004B" w14:textId="77777777" w:rsidR="001A7E40" w:rsidRDefault="001A7E40">
      <w:pPr>
        <w:widowControl w:val="0"/>
        <w:spacing w:line="240" w:lineRule="auto"/>
        <w:rPr>
          <w:rFonts w:ascii="Times New Roman" w:eastAsia="Times New Roman" w:hAnsi="Times New Roman" w:cs="Times New Roman"/>
          <w:sz w:val="24"/>
          <w:szCs w:val="24"/>
        </w:rPr>
      </w:pPr>
    </w:p>
    <w:p w14:paraId="0000004C" w14:textId="77777777" w:rsidR="001A7E40" w:rsidRDefault="00940D1C">
      <w:pPr>
        <w:widowControl w:val="0"/>
        <w:spacing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Work and Family Orientation Questionnaire</w:t>
      </w:r>
    </w:p>
    <w:p w14:paraId="0000004D" w14:textId="77777777" w:rsidR="001A7E40" w:rsidRDefault="00940D1C">
      <w:pPr>
        <w:widowControl w:val="0"/>
        <w:spacing w:line="240" w:lineRule="auto"/>
        <w:ind w:left="708" w:hanging="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Helmreich, R. L., &amp; Spence, J. T. (1978). The Work and Family Orientation Questionnaire: An objective instrument to assess components of achievement motivation and attitudes toward family and career. </w:t>
      </w:r>
      <w:r>
        <w:rPr>
          <w:rFonts w:ascii="Times New Roman" w:eastAsia="Times New Roman" w:hAnsi="Times New Roman" w:cs="Times New Roman"/>
          <w:i/>
          <w:sz w:val="24"/>
          <w:szCs w:val="24"/>
        </w:rPr>
        <w:t xml:space="preserve">American </w:t>
      </w:r>
      <w:proofErr w:type="spellStart"/>
      <w:r>
        <w:rPr>
          <w:rFonts w:ascii="Times New Roman" w:eastAsia="Times New Roman" w:hAnsi="Times New Roman" w:cs="Times New Roman"/>
          <w:i/>
          <w:sz w:val="24"/>
          <w:szCs w:val="24"/>
        </w:rPr>
        <w:t>Psycholog</w:t>
      </w:r>
      <w:proofErr w:type="spellEnd"/>
      <w:r>
        <w:rPr>
          <w:rFonts w:ascii="Times New Roman" w:eastAsia="Times New Roman" w:hAnsi="Times New Roman" w:cs="Times New Roman"/>
          <w:i/>
          <w:sz w:val="24"/>
          <w:szCs w:val="24"/>
        </w:rPr>
        <w:t>. Ass., Journal Suppl</w:t>
      </w:r>
      <w:r>
        <w:rPr>
          <w:rFonts w:ascii="Times New Roman" w:eastAsia="Times New Roman" w:hAnsi="Times New Roman" w:cs="Times New Roman"/>
          <w:sz w:val="24"/>
          <w:szCs w:val="24"/>
        </w:rPr>
        <w:t>. Abstract Service.</w:t>
      </w:r>
    </w:p>
    <w:p w14:paraId="0000004E" w14:textId="77777777" w:rsidR="001A7E40" w:rsidRDefault="001A7E40">
      <w:pPr>
        <w:widowControl w:val="0"/>
        <w:spacing w:line="240" w:lineRule="auto"/>
        <w:rPr>
          <w:rFonts w:ascii="Times New Roman" w:eastAsia="Times New Roman" w:hAnsi="Times New Roman" w:cs="Times New Roman"/>
          <w:sz w:val="24"/>
          <w:szCs w:val="24"/>
        </w:rPr>
      </w:pPr>
    </w:p>
    <w:p w14:paraId="0000004F" w14:textId="77777777" w:rsidR="001A7E40" w:rsidRDefault="00940D1C">
      <w:pPr>
        <w:widowControl w:val="0"/>
        <w:spacing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16 Personality Factor Questionnaire</w:t>
      </w:r>
    </w:p>
    <w:p w14:paraId="00000050" w14:textId="77777777" w:rsidR="001A7E40" w:rsidRDefault="00940D1C">
      <w:pPr>
        <w:widowControl w:val="0"/>
        <w:spacing w:line="240" w:lineRule="auto"/>
        <w:ind w:left="708" w:hanging="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Cattell, R. B., Eber, H. W., &amp; Tatsuoka, M. M. (1970). </w:t>
      </w:r>
      <w:r>
        <w:rPr>
          <w:rFonts w:ascii="Times New Roman" w:eastAsia="Times New Roman" w:hAnsi="Times New Roman" w:cs="Times New Roman"/>
          <w:i/>
          <w:sz w:val="24"/>
          <w:szCs w:val="24"/>
        </w:rPr>
        <w:t>Handbook for the 16 personality factor questionnaire</w:t>
      </w:r>
      <w:r>
        <w:rPr>
          <w:rFonts w:ascii="Times New Roman" w:eastAsia="Times New Roman" w:hAnsi="Times New Roman" w:cs="Times New Roman"/>
          <w:sz w:val="24"/>
          <w:szCs w:val="24"/>
        </w:rPr>
        <w:t>. Champaign, IL: Institute for Personality and Ability Testing.</w:t>
      </w:r>
    </w:p>
    <w:p w14:paraId="00000051" w14:textId="77777777" w:rsidR="001A7E40" w:rsidRDefault="001A7E40">
      <w:pPr>
        <w:widowControl w:val="0"/>
        <w:spacing w:line="240" w:lineRule="auto"/>
        <w:rPr>
          <w:rFonts w:ascii="Times New Roman" w:eastAsia="Times New Roman" w:hAnsi="Times New Roman" w:cs="Times New Roman"/>
          <w:sz w:val="24"/>
          <w:szCs w:val="24"/>
        </w:rPr>
      </w:pPr>
    </w:p>
    <w:p w14:paraId="00000052" w14:textId="77777777" w:rsidR="001A7E40" w:rsidRDefault="001A7E40">
      <w:pPr>
        <w:widowControl w:val="0"/>
        <w:spacing w:line="240" w:lineRule="auto"/>
        <w:ind w:left="720" w:hanging="720"/>
        <w:rPr>
          <w:rFonts w:ascii="Times New Roman" w:eastAsia="Times New Roman" w:hAnsi="Times New Roman" w:cs="Times New Roman"/>
          <w:sz w:val="24"/>
          <w:szCs w:val="24"/>
        </w:rPr>
      </w:pPr>
    </w:p>
    <w:p w14:paraId="00000053" w14:textId="77777777" w:rsidR="001A7E40" w:rsidRDefault="001A7E40">
      <w:pPr>
        <w:widowControl w:val="0"/>
        <w:spacing w:line="480" w:lineRule="auto"/>
        <w:ind w:firstLine="720"/>
        <w:rPr>
          <w:rFonts w:ascii="Times New Roman" w:eastAsia="Times New Roman" w:hAnsi="Times New Roman" w:cs="Times New Roman"/>
          <w:sz w:val="24"/>
          <w:szCs w:val="24"/>
        </w:rPr>
      </w:pPr>
    </w:p>
    <w:p w14:paraId="00000054" w14:textId="77777777" w:rsidR="001A7E40" w:rsidRDefault="001A7E40">
      <w:pPr>
        <w:widowControl w:val="0"/>
        <w:spacing w:line="480" w:lineRule="auto"/>
        <w:ind w:firstLine="720"/>
        <w:rPr>
          <w:rFonts w:ascii="Times New Roman" w:eastAsia="Times New Roman" w:hAnsi="Times New Roman" w:cs="Times New Roman"/>
          <w:sz w:val="24"/>
          <w:szCs w:val="24"/>
        </w:rPr>
      </w:pPr>
    </w:p>
    <w:p w14:paraId="00000055" w14:textId="77777777" w:rsidR="001A7E40" w:rsidRDefault="001A7E40">
      <w:pPr>
        <w:widowControl w:val="0"/>
        <w:spacing w:line="480" w:lineRule="auto"/>
        <w:ind w:firstLine="720"/>
        <w:rPr>
          <w:rFonts w:ascii="Times New Roman" w:eastAsia="Times New Roman" w:hAnsi="Times New Roman" w:cs="Times New Roman"/>
          <w:sz w:val="24"/>
          <w:szCs w:val="24"/>
        </w:rPr>
      </w:pPr>
    </w:p>
    <w:p w14:paraId="00000056" w14:textId="77777777" w:rsidR="001A7E40" w:rsidRDefault="001A7E40">
      <w:pPr>
        <w:spacing w:line="240" w:lineRule="auto"/>
        <w:rPr>
          <w:rFonts w:ascii="Times New Roman" w:eastAsia="Times New Roman" w:hAnsi="Times New Roman" w:cs="Times New Roman"/>
        </w:rPr>
      </w:pPr>
    </w:p>
    <w:sectPr w:rsidR="001A7E40">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82C02" w14:textId="77777777" w:rsidR="00940D1C" w:rsidRDefault="00940D1C">
      <w:pPr>
        <w:spacing w:line="240" w:lineRule="auto"/>
      </w:pPr>
      <w:r>
        <w:separator/>
      </w:r>
    </w:p>
  </w:endnote>
  <w:endnote w:type="continuationSeparator" w:id="0">
    <w:p w14:paraId="1C617A14" w14:textId="77777777" w:rsidR="00940D1C" w:rsidRDefault="00940D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47706" w14:textId="77777777" w:rsidR="00940D1C" w:rsidRDefault="00940D1C">
      <w:pPr>
        <w:spacing w:line="240" w:lineRule="auto"/>
      </w:pPr>
      <w:r>
        <w:separator/>
      </w:r>
    </w:p>
  </w:footnote>
  <w:footnote w:type="continuationSeparator" w:id="0">
    <w:p w14:paraId="7292D32D" w14:textId="77777777" w:rsidR="00940D1C" w:rsidRDefault="00940D1C">
      <w:pPr>
        <w:spacing w:line="240" w:lineRule="auto"/>
      </w:pPr>
      <w:r>
        <w:continuationSeparator/>
      </w:r>
    </w:p>
  </w:footnote>
  <w:footnote w:id="1">
    <w:p w14:paraId="00000057" w14:textId="77777777" w:rsidR="001A7E40" w:rsidRPr="00940D1C" w:rsidRDefault="00940D1C">
      <w:pPr>
        <w:spacing w:line="240" w:lineRule="auto"/>
        <w:rPr>
          <w:rFonts w:ascii="Times New Roman" w:eastAsia="Times New Roman" w:hAnsi="Times New Roman" w:cs="Times New Roman"/>
          <w:sz w:val="18"/>
          <w:szCs w:val="18"/>
        </w:rPr>
      </w:pPr>
      <w:r w:rsidRPr="00940D1C">
        <w:rPr>
          <w:rFonts w:ascii="Times New Roman" w:hAnsi="Times New Roman" w:cs="Times New Roman"/>
          <w:sz w:val="18"/>
          <w:szCs w:val="18"/>
          <w:vertAlign w:val="superscript"/>
        </w:rPr>
        <w:footnoteRef/>
      </w:r>
      <w:r w:rsidRPr="00940D1C">
        <w:rPr>
          <w:rFonts w:ascii="Times New Roman" w:eastAsia="Times New Roman" w:hAnsi="Times New Roman" w:cs="Times New Roman"/>
          <w:sz w:val="18"/>
          <w:szCs w:val="18"/>
        </w:rPr>
        <w:t xml:space="preserve"> As suggested by the 75% rule (Hunter &amp; Schmidt, 1990), substantial heterogeneity in the effect sizes can be indicated by &lt;75% of the </w:t>
      </w:r>
      <w:r w:rsidRPr="00940D1C">
        <w:rPr>
          <w:rFonts w:ascii="Times New Roman" w:eastAsia="Times New Roman" w:hAnsi="Times New Roman" w:cs="Times New Roman"/>
          <w:i/>
          <w:sz w:val="18"/>
          <w:szCs w:val="18"/>
        </w:rPr>
        <w:t>total variance</w:t>
      </w:r>
      <w:r w:rsidRPr="00940D1C">
        <w:rPr>
          <w:rFonts w:ascii="Times New Roman" w:eastAsia="Times New Roman" w:hAnsi="Times New Roman" w:cs="Times New Roman"/>
          <w:sz w:val="18"/>
          <w:szCs w:val="18"/>
        </w:rPr>
        <w:t xml:space="preserve"> being attributed to sampling variance (level 1). Our objective is to assess whether substantial heterogeneity resides at level 2 and/or level 3.</w:t>
      </w:r>
    </w:p>
  </w:footnote>
  <w:footnote w:id="2">
    <w:p w14:paraId="00000058" w14:textId="77777777" w:rsidR="001A7E40" w:rsidRDefault="00940D1C">
      <w:pPr>
        <w:spacing w:line="240" w:lineRule="auto"/>
        <w:rPr>
          <w:rFonts w:ascii="Times New Roman" w:eastAsia="Times New Roman" w:hAnsi="Times New Roman" w:cs="Times New Roman"/>
          <w:sz w:val="18"/>
          <w:szCs w:val="18"/>
        </w:rPr>
      </w:pPr>
      <w:r w:rsidRPr="00940D1C">
        <w:rPr>
          <w:rFonts w:ascii="Times New Roman" w:hAnsi="Times New Roman" w:cs="Times New Roman"/>
          <w:sz w:val="18"/>
          <w:szCs w:val="18"/>
          <w:vertAlign w:val="superscript"/>
        </w:rPr>
        <w:footnoteRef/>
      </w:r>
      <w:r w:rsidRPr="00940D1C">
        <w:rPr>
          <w:rFonts w:ascii="Times New Roman" w:eastAsia="Times New Roman" w:hAnsi="Times New Roman" w:cs="Times New Roman"/>
          <w:sz w:val="18"/>
          <w:szCs w:val="18"/>
        </w:rPr>
        <w:t xml:space="preserve"> The 3-level meta-analysis cannot be conducted for Honesty-Humility and leader emergence, because this set of primary studies were all from the United States.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D01FE0"/>
    <w:multiLevelType w:val="multilevel"/>
    <w:tmpl w:val="0B0AE7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5795603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E40"/>
    <w:rsid w:val="001A7E40"/>
    <w:rsid w:val="00261CB3"/>
    <w:rsid w:val="003C0BAC"/>
    <w:rsid w:val="00487E6D"/>
    <w:rsid w:val="0049130D"/>
    <w:rsid w:val="005356D4"/>
    <w:rsid w:val="005B025E"/>
    <w:rsid w:val="006F076F"/>
    <w:rsid w:val="008E2912"/>
    <w:rsid w:val="00940D1C"/>
    <w:rsid w:val="00A14567"/>
    <w:rsid w:val="00CE00B2"/>
    <w:rsid w:val="00FF3A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BEBFB"/>
  <w15:docId w15:val="{228C3698-4A78-49CF-A6FA-2BD1DB81F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Arial"/>
        <w:sz w:val="22"/>
        <w:szCs w:val="22"/>
        <w:lang w:val="en" w:eastAsia="zh-CN"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pPr>
      <w:spacing w:line="240" w:lineRule="auto"/>
    </w:pPr>
    <w:rPr>
      <w:sz w:val="24"/>
      <w:szCs w:val="24"/>
    </w:rPr>
    <w:tblPr>
      <w:tblStyleRowBandSize w:val="1"/>
      <w:tblStyleColBandSize w:val="1"/>
    </w:tblPr>
  </w:style>
  <w:style w:type="table" w:customStyle="1" w:styleId="a0">
    <w:basedOn w:val="TableNormal"/>
    <w:pPr>
      <w:spacing w:line="240" w:lineRule="auto"/>
    </w:pPr>
    <w:rPr>
      <w:sz w:val="24"/>
      <w:szCs w:val="24"/>
    </w:rPr>
    <w:tblPr>
      <w:tblStyleRowBandSize w:val="1"/>
      <w:tblStyleColBandSize w:val="1"/>
    </w:tblPr>
  </w:style>
  <w:style w:type="paragraph" w:styleId="Header">
    <w:name w:val="header"/>
    <w:basedOn w:val="Normal"/>
    <w:link w:val="HeaderChar"/>
    <w:uiPriority w:val="99"/>
    <w:unhideWhenUsed/>
    <w:rsid w:val="001811B8"/>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1811B8"/>
    <w:rPr>
      <w:sz w:val="18"/>
      <w:szCs w:val="18"/>
    </w:rPr>
  </w:style>
  <w:style w:type="paragraph" w:styleId="Footer">
    <w:name w:val="footer"/>
    <w:basedOn w:val="Normal"/>
    <w:link w:val="FooterChar"/>
    <w:uiPriority w:val="99"/>
    <w:unhideWhenUsed/>
    <w:rsid w:val="001811B8"/>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1811B8"/>
    <w:rPr>
      <w:sz w:val="18"/>
      <w:szCs w:val="18"/>
    </w:rPr>
  </w:style>
  <w:style w:type="character" w:styleId="CommentReference">
    <w:name w:val="annotation reference"/>
    <w:basedOn w:val="DefaultParagraphFont"/>
    <w:uiPriority w:val="99"/>
    <w:semiHidden/>
    <w:unhideWhenUsed/>
    <w:rsid w:val="0066503F"/>
    <w:rPr>
      <w:sz w:val="21"/>
      <w:szCs w:val="21"/>
    </w:rPr>
  </w:style>
  <w:style w:type="paragraph" w:styleId="CommentText">
    <w:name w:val="annotation text"/>
    <w:basedOn w:val="Normal"/>
    <w:link w:val="CommentTextChar"/>
    <w:uiPriority w:val="99"/>
    <w:unhideWhenUsed/>
    <w:rsid w:val="0066503F"/>
  </w:style>
  <w:style w:type="character" w:customStyle="1" w:styleId="CommentTextChar">
    <w:name w:val="Comment Text Char"/>
    <w:basedOn w:val="DefaultParagraphFont"/>
    <w:link w:val="CommentText"/>
    <w:uiPriority w:val="99"/>
    <w:rsid w:val="0066503F"/>
  </w:style>
  <w:style w:type="paragraph" w:styleId="CommentSubject">
    <w:name w:val="annotation subject"/>
    <w:basedOn w:val="CommentText"/>
    <w:next w:val="CommentText"/>
    <w:link w:val="CommentSubjectChar"/>
    <w:uiPriority w:val="99"/>
    <w:semiHidden/>
    <w:unhideWhenUsed/>
    <w:rsid w:val="0066503F"/>
    <w:rPr>
      <w:b/>
      <w:bCs/>
    </w:rPr>
  </w:style>
  <w:style w:type="character" w:customStyle="1" w:styleId="CommentSubjectChar">
    <w:name w:val="Comment Subject Char"/>
    <w:basedOn w:val="CommentTextChar"/>
    <w:link w:val="CommentSubject"/>
    <w:uiPriority w:val="99"/>
    <w:semiHidden/>
    <w:rsid w:val="006650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Z9bvCL6OkK8oZUC//yaiFmAq+dg==">AMUW2mUqz1DJ0XyprBdKJRj1g5MJwBU9Jj2d4hZQKmDEs+69WrPih+QPXgqOXwBhLspPPNJuODS4c033BuwFd8T9O23RS9gQryIv8WYXpSpM6XM5Ezf++hXi7YCsck0lLWMPtBX/A/HFtcHE3nvxBkqNL7BjfIm8mq/ne5wAXMrVALBojrZblmI=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1948</Words>
  <Characters>11105</Characters>
  <DocSecurity>0</DocSecurity>
  <Lines>92</Lines>
  <Paragraphs>26</Paragraphs>
  <ScaleCrop>false</ScaleCrop>
  <Company/>
  <LinksUpToDate>false</LinksUpToDate>
  <CharactersWithSpaces>13027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2023-11-16T17:06:00Z</dcterms:created>
  <dcterms:modified xsi:type="dcterms:W3CDTF">2023-11-16T17:21:00Z</dcterms:modified>
</cp:coreProperties>
</file>